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79" w:rsidRPr="00D2304A" w:rsidRDefault="00917581" w:rsidP="00E01C79">
      <w:pPr>
        <w:jc w:val="center"/>
        <w:rPr>
          <w:rFonts w:ascii="Times New Roman" w:hAnsi="Times New Roman" w:cs="Times New Roman"/>
          <w:lang w:val="ro-MO"/>
        </w:rPr>
      </w:pPr>
      <w:r>
        <w:rPr>
          <w:rFonts w:ascii="Times New Roman" w:hAnsi="Times New Roman" w:cs="Times New Roman"/>
          <w:noProof/>
          <w:lang w:val="en-US" w:eastAsia="en-US"/>
        </w:rPr>
        <w:drawing>
          <wp:anchor distT="0" distB="0" distL="114300" distR="114300" simplePos="0" relativeHeight="251658240" behindDoc="1" locked="0" layoutInCell="1" allowOverlap="1">
            <wp:simplePos x="0" y="0"/>
            <wp:positionH relativeFrom="column">
              <wp:posOffset>1564640</wp:posOffset>
            </wp:positionH>
            <wp:positionV relativeFrom="paragraph">
              <wp:posOffset>-167005</wp:posOffset>
            </wp:positionV>
            <wp:extent cx="3201035" cy="914400"/>
            <wp:effectExtent l="19050" t="0" r="0" b="0"/>
            <wp:wrapTight wrapText="bothSides">
              <wp:wrapPolygon edited="0">
                <wp:start x="-129" y="0"/>
                <wp:lineTo x="-129" y="21150"/>
                <wp:lineTo x="21596" y="21150"/>
                <wp:lineTo x="21596" y="0"/>
                <wp:lineTo x="-129" y="0"/>
              </wp:wrapPolygon>
            </wp:wrapTight>
            <wp:docPr id="4" name="Picture 1" descr="MySSD:Users:danik:Dropbox:TSMD - Сайты - prv:!w-crjm.md:crjm.md development.md:Antet-crjm-e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SD:Users:danik:Dropbox:TSMD - Сайты - prv:!w-crjm.md:crjm.md development.md:Antet-crjm-eng-2"/>
                    <pic:cNvPicPr>
                      <a:picLocks noChangeAspect="1" noChangeArrowheads="1"/>
                    </pic:cNvPicPr>
                  </pic:nvPicPr>
                  <pic:blipFill>
                    <a:blip r:embed="rId8" cstate="print"/>
                    <a:srcRect/>
                    <a:stretch>
                      <a:fillRect/>
                    </a:stretch>
                  </pic:blipFill>
                  <pic:spPr bwMode="auto">
                    <a:xfrm>
                      <a:off x="0" y="0"/>
                      <a:ext cx="3201035" cy="914400"/>
                    </a:xfrm>
                    <a:prstGeom prst="rect">
                      <a:avLst/>
                    </a:prstGeom>
                    <a:noFill/>
                    <a:ln w="9525">
                      <a:noFill/>
                      <a:miter lim="800000"/>
                      <a:headEnd/>
                      <a:tailEnd/>
                    </a:ln>
                  </pic:spPr>
                </pic:pic>
              </a:graphicData>
            </a:graphic>
          </wp:anchor>
        </w:drawing>
      </w:r>
    </w:p>
    <w:p w:rsidR="00273F37" w:rsidRPr="00D2304A" w:rsidRDefault="00273F37" w:rsidP="00E01C79">
      <w:pPr>
        <w:spacing w:after="0" w:line="288" w:lineRule="auto"/>
        <w:jc w:val="center"/>
        <w:rPr>
          <w:rFonts w:ascii="Times New Roman" w:eastAsia="SimSun" w:hAnsi="Times New Roman" w:cs="Times New Roman"/>
          <w:b/>
          <w:noProof/>
          <w:lang w:val="ro-MO" w:eastAsia="en-GB"/>
        </w:rPr>
      </w:pPr>
    </w:p>
    <w:p w:rsidR="00917581" w:rsidRDefault="00917581" w:rsidP="001369A8">
      <w:pPr>
        <w:spacing w:after="0" w:line="288" w:lineRule="auto"/>
        <w:jc w:val="center"/>
        <w:rPr>
          <w:rFonts w:eastAsia="SimSun" w:cs="Times New Roman"/>
          <w:b/>
          <w:noProof/>
          <w:sz w:val="32"/>
          <w:szCs w:val="32"/>
          <w:lang w:val="ro-MO" w:eastAsia="en-GB"/>
        </w:rPr>
      </w:pPr>
    </w:p>
    <w:p w:rsidR="00917581" w:rsidRDefault="00917581" w:rsidP="001369A8">
      <w:pPr>
        <w:spacing w:after="0" w:line="288" w:lineRule="auto"/>
        <w:jc w:val="center"/>
        <w:rPr>
          <w:rFonts w:eastAsia="SimSun" w:cs="Times New Roman"/>
          <w:b/>
          <w:noProof/>
          <w:sz w:val="32"/>
          <w:szCs w:val="32"/>
          <w:lang w:val="ro-MO" w:eastAsia="en-GB"/>
        </w:rPr>
      </w:pPr>
    </w:p>
    <w:p w:rsidR="00E01C79" w:rsidRPr="007402F4" w:rsidRDefault="00917581" w:rsidP="001369A8">
      <w:pPr>
        <w:spacing w:after="0" w:line="288" w:lineRule="auto"/>
        <w:jc w:val="center"/>
        <w:rPr>
          <w:rFonts w:eastAsia="SimSun" w:cs="Times New Roman"/>
          <w:b/>
          <w:noProof/>
          <w:sz w:val="32"/>
          <w:szCs w:val="32"/>
          <w:lang w:val="ro-MO" w:eastAsia="en-GB"/>
        </w:rPr>
      </w:pPr>
      <w:r>
        <w:rPr>
          <w:rFonts w:eastAsia="SimSun" w:cs="Times New Roman"/>
          <w:b/>
          <w:noProof/>
          <w:sz w:val="32"/>
          <w:szCs w:val="32"/>
          <w:lang w:val="ro-MO" w:eastAsia="en-GB"/>
        </w:rPr>
        <w:t>Activity report for 2013</w:t>
      </w:r>
    </w:p>
    <w:p w:rsidR="00F77EA7" w:rsidRPr="00D2304A" w:rsidRDefault="00F77EA7" w:rsidP="001369A8">
      <w:pPr>
        <w:spacing w:after="0" w:line="288" w:lineRule="auto"/>
        <w:jc w:val="center"/>
        <w:rPr>
          <w:rFonts w:eastAsia="SimSun" w:cs="Times New Roman"/>
          <w:b/>
          <w:noProof/>
          <w:lang w:val="ro-MO" w:eastAsia="en-GB"/>
        </w:rPr>
      </w:pPr>
    </w:p>
    <w:p w:rsidR="00E01C79" w:rsidRDefault="00E01C79" w:rsidP="001369A8">
      <w:pPr>
        <w:spacing w:after="0" w:line="288" w:lineRule="auto"/>
        <w:rPr>
          <w:rFonts w:eastAsia="SimSun" w:cs="Times New Roman"/>
          <w:b/>
          <w:noProof/>
          <w:lang w:val="ro-MO" w:eastAsia="en-GB"/>
        </w:rPr>
      </w:pPr>
    </w:p>
    <w:p w:rsidR="007402F4" w:rsidRPr="003D180E" w:rsidRDefault="007402F4" w:rsidP="001369A8">
      <w:pPr>
        <w:spacing w:after="0" w:line="288" w:lineRule="auto"/>
        <w:rPr>
          <w:rFonts w:eastAsia="SimSun" w:cs="Times New Roman"/>
          <w:b/>
          <w:noProof/>
          <w:lang w:val="ro-MO" w:eastAsia="en-GB"/>
        </w:rPr>
      </w:pPr>
    </w:p>
    <w:p w:rsidR="009B0B6B" w:rsidRPr="003D180E" w:rsidRDefault="009B0B6B" w:rsidP="00F511A1">
      <w:pPr>
        <w:spacing w:after="0" w:line="288" w:lineRule="auto"/>
        <w:ind w:left="1410" w:hanging="1410"/>
        <w:jc w:val="both"/>
        <w:rPr>
          <w:rFonts w:cs="Times New Roman"/>
          <w:lang w:val="en-US"/>
        </w:rPr>
      </w:pPr>
      <w:r w:rsidRPr="003D180E">
        <w:rPr>
          <w:rFonts w:cs="Times New Roman"/>
          <w:b/>
          <w:i/>
          <w:lang w:val="en-US"/>
        </w:rPr>
        <w:t>Identi</w:t>
      </w:r>
      <w:r w:rsidR="00917581" w:rsidRPr="003D180E">
        <w:rPr>
          <w:rFonts w:cs="Times New Roman"/>
          <w:b/>
          <w:i/>
          <w:lang w:val="en-US"/>
        </w:rPr>
        <w:t>ty</w:t>
      </w:r>
      <w:r w:rsidR="002777A1" w:rsidRPr="003D180E">
        <w:rPr>
          <w:rFonts w:cs="Times New Roman"/>
          <w:b/>
          <w:i/>
          <w:lang w:val="en-US"/>
        </w:rPr>
        <w:t xml:space="preserve">  </w:t>
      </w:r>
      <w:r w:rsidR="00F511A1" w:rsidRPr="003D180E">
        <w:rPr>
          <w:rFonts w:cs="Times New Roman"/>
          <w:b/>
          <w:i/>
          <w:lang w:val="en-US"/>
        </w:rPr>
        <w:t xml:space="preserve"> |</w:t>
      </w:r>
      <w:r w:rsidR="00572BD9" w:rsidRPr="003D180E">
        <w:rPr>
          <w:rFonts w:cs="Times New Roman"/>
          <w:b/>
          <w:i/>
          <w:lang w:val="en-US"/>
        </w:rPr>
        <w:t xml:space="preserve"> </w:t>
      </w:r>
      <w:r w:rsidR="00F511A1" w:rsidRPr="003D180E">
        <w:rPr>
          <w:rFonts w:cs="Times New Roman"/>
          <w:b/>
          <w:lang w:val="en-US"/>
        </w:rPr>
        <w:tab/>
      </w:r>
      <w:r w:rsidR="00917581" w:rsidRPr="00D15D80">
        <w:rPr>
          <w:rFonts w:cs="Times New Roman"/>
          <w:lang w:val="en-US"/>
        </w:rPr>
        <w:t>The Centrul de Resurse Juridice din Moldova (CRJM) /</w:t>
      </w:r>
      <w:r w:rsidR="00917581" w:rsidRPr="003D180E">
        <w:rPr>
          <w:rFonts w:cs="Times New Roman"/>
          <w:lang w:val="en-US"/>
        </w:rPr>
        <w:t xml:space="preserve"> Legal Resources Centre from Moldova (LRCM) is a not-for profit non-governmental organization based in Chişinău, Republic of Moldova. LRCM strives to ensure a qualitative, prompt and transparent </w:t>
      </w:r>
      <w:r w:rsidR="00917581" w:rsidRPr="00FC2140">
        <w:rPr>
          <w:rFonts w:cs="Times New Roman"/>
          <w:lang w:val="en-US"/>
        </w:rPr>
        <w:t>delivery of</w:t>
      </w:r>
      <w:r w:rsidR="00917581" w:rsidRPr="003D180E">
        <w:rPr>
          <w:rFonts w:cs="Times New Roman"/>
          <w:lang w:val="en-US"/>
        </w:rPr>
        <w:t xml:space="preserve"> justice and effective observance of civil and political rights in Moldova. In achieving these aims, LRCM combines policy research and advocacy in an independent and non-partisan manner.</w:t>
      </w:r>
    </w:p>
    <w:p w:rsidR="009B0B6B" w:rsidRPr="003D180E" w:rsidRDefault="009B0B6B" w:rsidP="009B0B6B">
      <w:pPr>
        <w:spacing w:after="0" w:line="288" w:lineRule="auto"/>
        <w:jc w:val="both"/>
        <w:rPr>
          <w:rFonts w:cs="Times New Roman"/>
          <w:lang w:val="en-US"/>
        </w:rPr>
      </w:pPr>
    </w:p>
    <w:p w:rsidR="00917581" w:rsidRPr="003D180E" w:rsidRDefault="00917581" w:rsidP="00917581">
      <w:pPr>
        <w:spacing w:after="0" w:line="288" w:lineRule="auto"/>
        <w:jc w:val="both"/>
        <w:rPr>
          <w:rFonts w:cs="Times New Roman"/>
          <w:lang w:val="en-US"/>
        </w:rPr>
      </w:pPr>
      <w:r w:rsidRPr="003D180E">
        <w:rPr>
          <w:b/>
          <w:lang w:val="en-US"/>
        </w:rPr>
        <w:t>Goal</w:t>
      </w:r>
      <w:r w:rsidR="007402F4" w:rsidRPr="003D180E">
        <w:rPr>
          <w:b/>
          <w:lang w:val="en-US"/>
        </w:rPr>
        <w:t xml:space="preserve">        |</w:t>
      </w:r>
      <w:r w:rsidR="007402F4" w:rsidRPr="003D180E">
        <w:rPr>
          <w:b/>
          <w:i/>
          <w:lang w:val="en-US"/>
        </w:rPr>
        <w:t xml:space="preserve"> </w:t>
      </w:r>
      <w:r w:rsidR="007402F4" w:rsidRPr="003D180E">
        <w:rPr>
          <w:lang w:val="en-US"/>
        </w:rPr>
        <w:t xml:space="preserve"> </w:t>
      </w:r>
      <w:r w:rsidR="00B711CD" w:rsidRPr="003D180E">
        <w:rPr>
          <w:lang w:val="en-US"/>
        </w:rPr>
        <w:t xml:space="preserve">     </w:t>
      </w:r>
      <w:r w:rsidR="007275C8" w:rsidRPr="003D180E">
        <w:rPr>
          <w:lang w:val="en-US"/>
        </w:rPr>
        <w:t xml:space="preserve">  </w:t>
      </w:r>
      <w:r w:rsidRPr="003D180E">
        <w:rPr>
          <w:rFonts w:cs="Times New Roman"/>
          <w:lang w:val="en-US"/>
        </w:rPr>
        <w:t>LRCM seeks to achieve the following goals:</w:t>
      </w:r>
    </w:p>
    <w:p w:rsidR="00917581" w:rsidRPr="003D180E" w:rsidRDefault="00917581" w:rsidP="007275C8">
      <w:pPr>
        <w:pStyle w:val="ListParagraph"/>
        <w:numPr>
          <w:ilvl w:val="0"/>
          <w:numId w:val="20"/>
        </w:numPr>
        <w:spacing w:after="0" w:line="288" w:lineRule="auto"/>
        <w:ind w:left="1701"/>
        <w:jc w:val="both"/>
        <w:rPr>
          <w:rFonts w:cs="Times New Roman"/>
          <w:lang w:val="en-US"/>
        </w:rPr>
      </w:pPr>
      <w:r w:rsidRPr="003D180E">
        <w:rPr>
          <w:rFonts w:cs="Times New Roman"/>
          <w:lang w:val="en-US"/>
        </w:rPr>
        <w:t xml:space="preserve">A responsible and efficient justice system in Moldova </w:t>
      </w:r>
    </w:p>
    <w:p w:rsidR="00917581" w:rsidRPr="003D180E" w:rsidRDefault="00917581" w:rsidP="007275C8">
      <w:pPr>
        <w:pStyle w:val="ListParagraph"/>
        <w:numPr>
          <w:ilvl w:val="0"/>
          <w:numId w:val="20"/>
        </w:numPr>
        <w:spacing w:after="0" w:line="288" w:lineRule="auto"/>
        <w:ind w:left="1701"/>
        <w:jc w:val="both"/>
        <w:rPr>
          <w:rFonts w:cs="Times New Roman"/>
          <w:lang w:val="en-US"/>
        </w:rPr>
      </w:pPr>
      <w:r w:rsidRPr="003D180E">
        <w:rPr>
          <w:rFonts w:cs="Times New Roman"/>
          <w:lang w:val="en-US"/>
        </w:rPr>
        <w:t xml:space="preserve">Effective application of ECHR in Moldova </w:t>
      </w:r>
    </w:p>
    <w:p w:rsidR="00917581" w:rsidRPr="003D180E" w:rsidRDefault="00917581" w:rsidP="007275C8">
      <w:pPr>
        <w:pStyle w:val="ListParagraph"/>
        <w:numPr>
          <w:ilvl w:val="0"/>
          <w:numId w:val="20"/>
        </w:numPr>
        <w:spacing w:after="0" w:line="288" w:lineRule="auto"/>
        <w:ind w:left="1701"/>
        <w:jc w:val="both"/>
        <w:rPr>
          <w:rFonts w:cs="Times New Roman"/>
          <w:lang w:val="en-US"/>
        </w:rPr>
      </w:pPr>
      <w:r w:rsidRPr="003D180E">
        <w:rPr>
          <w:rFonts w:cs="Times New Roman"/>
          <w:lang w:val="en-US"/>
        </w:rPr>
        <w:t xml:space="preserve">Moldovan legislation and practice comply with international standards regarding specific rights </w:t>
      </w:r>
    </w:p>
    <w:p w:rsidR="007402F4" w:rsidRPr="003D180E" w:rsidRDefault="00917581" w:rsidP="007275C8">
      <w:pPr>
        <w:pStyle w:val="Default"/>
        <w:numPr>
          <w:ilvl w:val="0"/>
          <w:numId w:val="20"/>
        </w:numPr>
        <w:ind w:left="1701"/>
        <w:rPr>
          <w:rFonts w:asciiTheme="minorHAnsi" w:hAnsiTheme="minorHAnsi"/>
          <w:sz w:val="22"/>
          <w:szCs w:val="22"/>
          <w:lang w:val="en-US"/>
        </w:rPr>
      </w:pPr>
      <w:r w:rsidRPr="003D180E">
        <w:rPr>
          <w:rFonts w:asciiTheme="minorHAnsi" w:hAnsiTheme="minorHAnsi"/>
          <w:sz w:val="22"/>
          <w:szCs w:val="22"/>
          <w:lang w:val="en-US"/>
        </w:rPr>
        <w:t>LRCM developed as a visible analytical centre and a sustainable organization</w:t>
      </w:r>
      <w:r w:rsidR="007402F4" w:rsidRPr="003D180E">
        <w:rPr>
          <w:rFonts w:asciiTheme="minorHAnsi" w:hAnsiTheme="minorHAnsi"/>
          <w:sz w:val="22"/>
          <w:szCs w:val="22"/>
          <w:lang w:val="en-US"/>
        </w:rPr>
        <w:t xml:space="preserve"> </w:t>
      </w:r>
    </w:p>
    <w:p w:rsidR="007402F4" w:rsidRPr="003D180E" w:rsidRDefault="007402F4" w:rsidP="00F511A1">
      <w:pPr>
        <w:spacing w:after="0" w:line="288" w:lineRule="auto"/>
        <w:ind w:left="1410" w:hanging="1410"/>
        <w:jc w:val="both"/>
        <w:rPr>
          <w:rFonts w:cs="Times New Roman"/>
          <w:b/>
          <w:i/>
          <w:lang w:val="en-US"/>
        </w:rPr>
      </w:pPr>
    </w:p>
    <w:p w:rsidR="009B0B6B" w:rsidRPr="003D180E" w:rsidRDefault="009B0B6B" w:rsidP="00F511A1">
      <w:pPr>
        <w:spacing w:after="0" w:line="288" w:lineRule="auto"/>
        <w:ind w:left="1410" w:hanging="1410"/>
        <w:jc w:val="both"/>
        <w:rPr>
          <w:rFonts w:cs="Times New Roman"/>
          <w:lang w:val="en-US"/>
        </w:rPr>
      </w:pPr>
      <w:r w:rsidRPr="003D180E">
        <w:rPr>
          <w:rFonts w:cs="Times New Roman"/>
          <w:b/>
          <w:i/>
          <w:lang w:val="en-US"/>
        </w:rPr>
        <w:t>Vi</w:t>
      </w:r>
      <w:r w:rsidR="00820441" w:rsidRPr="003D180E">
        <w:rPr>
          <w:rFonts w:cs="Times New Roman"/>
          <w:b/>
          <w:i/>
          <w:lang w:val="en-US"/>
        </w:rPr>
        <w:t>sion</w:t>
      </w:r>
      <w:r w:rsidR="002777A1" w:rsidRPr="003D180E">
        <w:rPr>
          <w:rFonts w:cs="Times New Roman"/>
          <w:b/>
          <w:i/>
          <w:lang w:val="en-US"/>
        </w:rPr>
        <w:t xml:space="preserve">   </w:t>
      </w:r>
      <w:r w:rsidR="00572BD9" w:rsidRPr="003D180E">
        <w:rPr>
          <w:rFonts w:cs="Times New Roman"/>
          <w:b/>
          <w:i/>
          <w:lang w:val="en-US"/>
        </w:rPr>
        <w:t xml:space="preserve"> </w:t>
      </w:r>
      <w:r w:rsidR="00F511A1" w:rsidRPr="00FC2140">
        <w:rPr>
          <w:rFonts w:cs="Times New Roman"/>
          <w:b/>
          <w:lang w:val="en-US"/>
        </w:rPr>
        <w:t>|</w:t>
      </w:r>
      <w:r w:rsidR="00572BD9" w:rsidRPr="003D180E">
        <w:rPr>
          <w:rFonts w:cs="Times New Roman"/>
          <w:b/>
          <w:i/>
          <w:lang w:val="en-US"/>
        </w:rPr>
        <w:t xml:space="preserve"> </w:t>
      </w:r>
      <w:r w:rsidR="00F511A1" w:rsidRPr="003D180E">
        <w:rPr>
          <w:rFonts w:cs="Times New Roman"/>
          <w:b/>
          <w:i/>
          <w:lang w:val="en-US"/>
        </w:rPr>
        <w:tab/>
      </w:r>
      <w:r w:rsidR="00820441" w:rsidRPr="003D180E">
        <w:rPr>
          <w:rFonts w:cs="Times New Roman"/>
          <w:lang w:val="en-US"/>
        </w:rPr>
        <w:t>LRCM believes that adequate and sustainable respect of human rights in Moldova can be ensured through systemic changes in the legislation, court system, prosecutors’ office and legal profession. Many of these changes failed due to the lack of expertise. We strive to address this deficit by promoting professional, methodology-grounded, high quality analysis in all our interventions and by remaining an independent and constructive partner for governmental and private stakeholders alike.</w:t>
      </w:r>
    </w:p>
    <w:p w:rsidR="009B0B6B" w:rsidRPr="003D180E" w:rsidRDefault="009B0B6B" w:rsidP="009B0B6B">
      <w:pPr>
        <w:spacing w:after="0" w:line="288" w:lineRule="auto"/>
        <w:jc w:val="both"/>
        <w:rPr>
          <w:rFonts w:cs="Times New Roman"/>
          <w:lang w:val="en-US"/>
        </w:rPr>
      </w:pPr>
    </w:p>
    <w:p w:rsidR="009B0B6B" w:rsidRPr="003D180E" w:rsidRDefault="009B0B6B" w:rsidP="00F511A1">
      <w:pPr>
        <w:spacing w:after="0" w:line="288" w:lineRule="auto"/>
        <w:ind w:left="1410" w:hanging="1410"/>
        <w:jc w:val="both"/>
        <w:rPr>
          <w:rFonts w:cs="Times New Roman"/>
          <w:lang w:val="en-US"/>
        </w:rPr>
      </w:pPr>
      <w:r w:rsidRPr="003D180E">
        <w:rPr>
          <w:rFonts w:cs="Times New Roman"/>
          <w:b/>
          <w:i/>
          <w:lang w:val="en-US"/>
        </w:rPr>
        <w:t>Val</w:t>
      </w:r>
      <w:r w:rsidR="001577B7" w:rsidRPr="003D180E">
        <w:rPr>
          <w:rFonts w:cs="Times New Roman"/>
          <w:b/>
          <w:i/>
          <w:lang w:val="en-US"/>
        </w:rPr>
        <w:t>ues</w:t>
      </w:r>
      <w:r w:rsidR="00572BD9" w:rsidRPr="003D180E">
        <w:rPr>
          <w:rFonts w:cs="Times New Roman"/>
          <w:b/>
          <w:i/>
          <w:lang w:val="en-US"/>
        </w:rPr>
        <w:t xml:space="preserve"> </w:t>
      </w:r>
      <w:r w:rsidR="002777A1" w:rsidRPr="003D180E">
        <w:rPr>
          <w:rFonts w:cs="Times New Roman"/>
          <w:b/>
          <w:i/>
          <w:lang w:val="en-US"/>
        </w:rPr>
        <w:t xml:space="preserve">    </w:t>
      </w:r>
      <w:r w:rsidR="00F511A1" w:rsidRPr="003D180E">
        <w:rPr>
          <w:rFonts w:cs="Times New Roman"/>
          <w:b/>
          <w:lang w:val="en-US"/>
        </w:rPr>
        <w:t>|</w:t>
      </w:r>
      <w:r w:rsidR="00F511A1" w:rsidRPr="003D180E">
        <w:rPr>
          <w:rFonts w:cs="Times New Roman"/>
          <w:b/>
          <w:lang w:val="en-US"/>
        </w:rPr>
        <w:tab/>
      </w:r>
      <w:r w:rsidR="00F511A1" w:rsidRPr="003D180E">
        <w:rPr>
          <w:rFonts w:cs="Times New Roman"/>
          <w:b/>
          <w:lang w:val="en-US"/>
        </w:rPr>
        <w:tab/>
      </w:r>
      <w:r w:rsidR="001577B7" w:rsidRPr="003D180E">
        <w:rPr>
          <w:rFonts w:cs="Times New Roman"/>
          <w:lang w:val="en-US"/>
        </w:rPr>
        <w:t>LRCM believes in democracy, rule of law, respect of human rights, participation of civil society in decision-making processes and open society values.</w:t>
      </w:r>
    </w:p>
    <w:p w:rsidR="009B0B6B" w:rsidRPr="003D180E" w:rsidRDefault="009B0B6B" w:rsidP="009B0B6B">
      <w:pPr>
        <w:spacing w:after="0" w:line="288" w:lineRule="auto"/>
        <w:jc w:val="both"/>
        <w:rPr>
          <w:rFonts w:cs="Times New Roman"/>
          <w:lang w:val="en-US"/>
        </w:rPr>
      </w:pPr>
    </w:p>
    <w:p w:rsidR="00D7584E" w:rsidRPr="003D180E" w:rsidRDefault="003D180E" w:rsidP="00D7584E">
      <w:pPr>
        <w:spacing w:after="0" w:line="288" w:lineRule="auto"/>
        <w:jc w:val="both"/>
        <w:rPr>
          <w:rFonts w:cs="Times New Roman"/>
          <w:lang w:val="en-US"/>
        </w:rPr>
      </w:pPr>
      <w:r w:rsidRPr="003D180E">
        <w:rPr>
          <w:rFonts w:cs="Times New Roman"/>
          <w:b/>
          <w:i/>
          <w:lang w:val="en-US"/>
        </w:rPr>
        <w:t>Principles</w:t>
      </w:r>
      <w:r w:rsidRPr="00FC2140">
        <w:rPr>
          <w:rFonts w:cs="Times New Roman"/>
          <w:b/>
          <w:lang w:val="en-US"/>
        </w:rPr>
        <w:t xml:space="preserve"> |</w:t>
      </w:r>
      <w:r w:rsidR="00572BD9" w:rsidRPr="003D180E">
        <w:rPr>
          <w:rFonts w:cs="Times New Roman"/>
          <w:b/>
          <w:i/>
          <w:lang w:val="en-US"/>
        </w:rPr>
        <w:t xml:space="preserve"> </w:t>
      </w:r>
      <w:r w:rsidR="00F511A1" w:rsidRPr="003D180E">
        <w:rPr>
          <w:rFonts w:cs="Times New Roman"/>
          <w:b/>
          <w:lang w:val="en-US"/>
        </w:rPr>
        <w:tab/>
      </w:r>
      <w:r w:rsidR="00D7584E" w:rsidRPr="003D180E">
        <w:rPr>
          <w:rFonts w:cs="Times New Roman"/>
          <w:lang w:val="en-US"/>
        </w:rPr>
        <w:t xml:space="preserve">LRCM is guided by the following principles: </w:t>
      </w:r>
    </w:p>
    <w:p w:rsidR="00D7584E" w:rsidRPr="003D180E" w:rsidRDefault="00D7584E" w:rsidP="00D7584E">
      <w:pPr>
        <w:pStyle w:val="ListParagraph"/>
        <w:numPr>
          <w:ilvl w:val="0"/>
          <w:numId w:val="17"/>
        </w:numPr>
        <w:spacing w:after="0" w:line="288" w:lineRule="auto"/>
        <w:ind w:left="1843"/>
        <w:jc w:val="both"/>
        <w:rPr>
          <w:rFonts w:cs="Times New Roman"/>
          <w:lang w:val="en-US"/>
        </w:rPr>
      </w:pPr>
      <w:r w:rsidRPr="003D180E">
        <w:rPr>
          <w:rFonts w:cs="Times New Roman"/>
          <w:lang w:val="en-US"/>
        </w:rPr>
        <w:t>Pro-active, constructive approach to inducing systemic changes</w:t>
      </w:r>
    </w:p>
    <w:p w:rsidR="00D7584E" w:rsidRPr="003D180E" w:rsidRDefault="00D7584E" w:rsidP="00D7584E">
      <w:pPr>
        <w:pStyle w:val="ListParagraph"/>
        <w:numPr>
          <w:ilvl w:val="0"/>
          <w:numId w:val="17"/>
        </w:numPr>
        <w:spacing w:after="0" w:line="288" w:lineRule="auto"/>
        <w:ind w:left="1843"/>
        <w:jc w:val="both"/>
        <w:rPr>
          <w:rFonts w:cs="Times New Roman"/>
          <w:lang w:val="en-US"/>
        </w:rPr>
      </w:pPr>
      <w:r w:rsidRPr="003D180E">
        <w:rPr>
          <w:rFonts w:cs="Times New Roman"/>
          <w:lang w:val="en-US"/>
        </w:rPr>
        <w:t>Accountability</w:t>
      </w:r>
    </w:p>
    <w:p w:rsidR="00D7584E" w:rsidRPr="003D180E" w:rsidRDefault="00D7584E" w:rsidP="00D7584E">
      <w:pPr>
        <w:pStyle w:val="ListParagraph"/>
        <w:numPr>
          <w:ilvl w:val="0"/>
          <w:numId w:val="17"/>
        </w:numPr>
        <w:spacing w:after="0" w:line="288" w:lineRule="auto"/>
        <w:ind w:left="1843"/>
        <w:jc w:val="both"/>
        <w:rPr>
          <w:rFonts w:cs="Times New Roman"/>
          <w:lang w:val="en-US"/>
        </w:rPr>
      </w:pPr>
      <w:r w:rsidRPr="003D180E">
        <w:rPr>
          <w:rFonts w:cs="Times New Roman"/>
          <w:lang w:val="en-US"/>
        </w:rPr>
        <w:t xml:space="preserve">Transparency </w:t>
      </w:r>
    </w:p>
    <w:p w:rsidR="00D7584E" w:rsidRPr="003D180E" w:rsidRDefault="00D7584E" w:rsidP="00D7584E">
      <w:pPr>
        <w:pStyle w:val="ListParagraph"/>
        <w:numPr>
          <w:ilvl w:val="0"/>
          <w:numId w:val="17"/>
        </w:numPr>
        <w:autoSpaceDE w:val="0"/>
        <w:autoSpaceDN w:val="0"/>
        <w:adjustRightInd w:val="0"/>
        <w:spacing w:after="0" w:line="288" w:lineRule="auto"/>
        <w:ind w:left="1843"/>
        <w:jc w:val="both"/>
        <w:rPr>
          <w:rFonts w:cs="Times New Roman"/>
          <w:lang w:val="en-US"/>
        </w:rPr>
      </w:pPr>
      <w:r w:rsidRPr="003D180E">
        <w:rPr>
          <w:rFonts w:cs="Times New Roman"/>
          <w:lang w:val="en-US"/>
        </w:rPr>
        <w:t>Professionalism and quality of our work</w:t>
      </w:r>
    </w:p>
    <w:p w:rsidR="009B0B6B" w:rsidRPr="003D180E" w:rsidRDefault="00D7584E" w:rsidP="00D7584E">
      <w:pPr>
        <w:pStyle w:val="ListParagraph"/>
        <w:numPr>
          <w:ilvl w:val="0"/>
          <w:numId w:val="17"/>
        </w:numPr>
        <w:spacing w:after="0" w:line="288" w:lineRule="auto"/>
        <w:ind w:left="1843"/>
        <w:jc w:val="both"/>
        <w:rPr>
          <w:rFonts w:eastAsia="SimSun" w:cs="Times New Roman"/>
          <w:b/>
          <w:noProof/>
          <w:lang w:val="en-US" w:eastAsia="en-GB"/>
        </w:rPr>
      </w:pPr>
      <w:r w:rsidRPr="003D180E">
        <w:rPr>
          <w:rFonts w:cs="Times New Roman"/>
          <w:lang w:val="en-US"/>
        </w:rPr>
        <w:t>Collegiality and respect for professional ethics</w:t>
      </w:r>
    </w:p>
    <w:p w:rsidR="009B0B6B" w:rsidRDefault="009B0B6B" w:rsidP="001369A8">
      <w:pPr>
        <w:spacing w:after="0" w:line="288" w:lineRule="auto"/>
        <w:rPr>
          <w:rFonts w:eastAsia="SimSun" w:cs="Times New Roman"/>
          <w:b/>
          <w:noProof/>
          <w:lang w:val="ro-MO" w:eastAsia="en-GB"/>
        </w:rPr>
      </w:pPr>
    </w:p>
    <w:p w:rsidR="006C65FD" w:rsidRDefault="006C65FD" w:rsidP="001369A8">
      <w:pPr>
        <w:spacing w:after="0" w:line="288" w:lineRule="auto"/>
        <w:rPr>
          <w:rFonts w:eastAsia="SimSun" w:cs="Times New Roman"/>
          <w:b/>
          <w:noProof/>
          <w:lang w:val="ro-MO" w:eastAsia="en-GB"/>
        </w:rPr>
      </w:pPr>
    </w:p>
    <w:p w:rsidR="006C65FD" w:rsidRDefault="006C65FD" w:rsidP="001369A8">
      <w:pPr>
        <w:spacing w:after="0" w:line="288" w:lineRule="auto"/>
        <w:rPr>
          <w:rFonts w:eastAsia="SimSun" w:cs="Times New Roman"/>
          <w:b/>
          <w:noProof/>
          <w:lang w:val="ro-MO" w:eastAsia="en-GB"/>
        </w:rPr>
      </w:pPr>
    </w:p>
    <w:p w:rsidR="006C65FD" w:rsidRDefault="003D180E" w:rsidP="003D180E">
      <w:pPr>
        <w:tabs>
          <w:tab w:val="left" w:pos="939"/>
        </w:tabs>
        <w:spacing w:after="0" w:line="288" w:lineRule="auto"/>
        <w:rPr>
          <w:rFonts w:eastAsia="SimSun" w:cs="Times New Roman"/>
          <w:b/>
          <w:noProof/>
          <w:lang w:val="ro-MO" w:eastAsia="en-GB"/>
        </w:rPr>
      </w:pPr>
      <w:r>
        <w:rPr>
          <w:rFonts w:eastAsia="SimSun" w:cs="Times New Roman"/>
          <w:b/>
          <w:noProof/>
          <w:lang w:val="ro-MO" w:eastAsia="en-GB"/>
        </w:rPr>
        <w:tab/>
      </w:r>
    </w:p>
    <w:p w:rsidR="003D180E" w:rsidRDefault="003D180E" w:rsidP="003D180E">
      <w:pPr>
        <w:tabs>
          <w:tab w:val="left" w:pos="939"/>
        </w:tabs>
        <w:spacing w:after="0" w:line="288" w:lineRule="auto"/>
        <w:rPr>
          <w:rFonts w:eastAsia="SimSun" w:cs="Times New Roman"/>
          <w:b/>
          <w:noProof/>
          <w:lang w:val="ro-MO" w:eastAsia="en-GB"/>
        </w:rPr>
      </w:pPr>
    </w:p>
    <w:p w:rsidR="006C65FD" w:rsidRDefault="006C65FD" w:rsidP="001369A8">
      <w:pPr>
        <w:spacing w:after="0" w:line="288" w:lineRule="auto"/>
        <w:rPr>
          <w:rFonts w:eastAsia="SimSun" w:cs="Times New Roman"/>
          <w:b/>
          <w:noProof/>
          <w:lang w:val="ro-MO" w:eastAsia="en-GB"/>
        </w:rPr>
      </w:pPr>
    </w:p>
    <w:p w:rsidR="00AB100A" w:rsidRPr="002929F4" w:rsidRDefault="003D180E" w:rsidP="00AB100A">
      <w:pPr>
        <w:spacing w:after="0" w:line="288" w:lineRule="auto"/>
        <w:contextualSpacing/>
        <w:jc w:val="both"/>
        <w:rPr>
          <w:rFonts w:eastAsia="Times New Roman" w:cs="Times New Roman"/>
          <w:b/>
          <w:bCs/>
          <w:kern w:val="32"/>
          <w:lang w:val="ro-MO" w:eastAsia="zh-CN"/>
        </w:rPr>
      </w:pPr>
      <w:r w:rsidRPr="002929F4">
        <w:rPr>
          <w:rFonts w:eastAsia="Times New Roman" w:cs="Times New Roman"/>
          <w:b/>
          <w:bCs/>
          <w:kern w:val="32"/>
          <w:lang w:val="ro-MO" w:eastAsia="zh-CN"/>
        </w:rPr>
        <w:t>LRCM TEAM</w:t>
      </w:r>
    </w:p>
    <w:p w:rsidR="006C65FD" w:rsidRPr="002929F4" w:rsidRDefault="006C65FD" w:rsidP="00AB100A">
      <w:pPr>
        <w:spacing w:after="0" w:line="288" w:lineRule="auto"/>
        <w:contextualSpacing/>
        <w:jc w:val="both"/>
        <w:rPr>
          <w:rFonts w:eastAsia="Times New Roman" w:cs="Times New Roman"/>
          <w:bCs/>
          <w:kern w:val="32"/>
          <w:lang w:val="ro-MO" w:eastAsia="zh-CN"/>
        </w:rPr>
      </w:pPr>
    </w:p>
    <w:p w:rsidR="002929F4" w:rsidRPr="002929F4" w:rsidRDefault="00AB100A" w:rsidP="002929F4">
      <w:pPr>
        <w:spacing w:after="0" w:line="240" w:lineRule="auto"/>
        <w:rPr>
          <w:rFonts w:eastAsia="Times New Roman" w:cs="Times New Roman"/>
          <w:lang w:val="en-US" w:eastAsia="en-US"/>
        </w:rPr>
      </w:pPr>
      <w:r w:rsidRPr="002929F4">
        <w:rPr>
          <w:rFonts w:eastAsia="Times New Roman" w:cs="Times New Roman"/>
          <w:bCs/>
          <w:kern w:val="32"/>
          <w:lang w:val="ro-MO" w:eastAsia="zh-CN"/>
        </w:rPr>
        <w:t xml:space="preserve">Vladislav GRIBINCEA, </w:t>
      </w:r>
      <w:r w:rsidR="002929F4" w:rsidRPr="002929F4">
        <w:rPr>
          <w:rFonts w:eastAsia="Times New Roman" w:cs="Times New Roman"/>
          <w:lang w:val="en-US" w:eastAsia="en-US"/>
        </w:rPr>
        <w:t>Executive Director</w:t>
      </w:r>
    </w:p>
    <w:p w:rsidR="00AB100A" w:rsidRPr="002929F4" w:rsidRDefault="00AB100A" w:rsidP="002929F4">
      <w:pPr>
        <w:spacing w:after="0" w:line="240" w:lineRule="auto"/>
        <w:contextualSpacing/>
        <w:jc w:val="both"/>
        <w:rPr>
          <w:rFonts w:eastAsia="Times New Roman" w:cs="Times New Roman"/>
          <w:bCs/>
          <w:kern w:val="32"/>
          <w:lang w:val="ro-MO" w:eastAsia="zh-CN"/>
        </w:rPr>
      </w:pPr>
      <w:r w:rsidRPr="002929F4">
        <w:rPr>
          <w:rFonts w:eastAsia="Times New Roman" w:cs="Times New Roman"/>
          <w:bCs/>
          <w:kern w:val="32"/>
          <w:lang w:val="ro-MO" w:eastAsia="zh-CN"/>
        </w:rPr>
        <w:t xml:space="preserve">Nadejda HRIPTIEVSCHI, </w:t>
      </w:r>
      <w:r w:rsidR="002929F4" w:rsidRPr="002929F4">
        <w:rPr>
          <w:rFonts w:eastAsia="Times New Roman" w:cs="Times New Roman"/>
          <w:bCs/>
          <w:kern w:val="32"/>
          <w:lang w:val="ro-MO" w:eastAsia="zh-CN"/>
        </w:rPr>
        <w:t>Program director</w:t>
      </w:r>
    </w:p>
    <w:p w:rsidR="00AB100A" w:rsidRPr="002929F4" w:rsidRDefault="00AB100A" w:rsidP="002929F4">
      <w:pPr>
        <w:spacing w:after="0" w:line="240" w:lineRule="auto"/>
        <w:contextualSpacing/>
        <w:jc w:val="both"/>
        <w:rPr>
          <w:rFonts w:eastAsia="Times New Roman" w:cs="Times New Roman"/>
          <w:bCs/>
          <w:kern w:val="32"/>
          <w:lang w:eastAsia="zh-CN"/>
        </w:rPr>
      </w:pPr>
      <w:r w:rsidRPr="002929F4">
        <w:rPr>
          <w:rFonts w:eastAsia="Times New Roman" w:cs="Times New Roman"/>
          <w:bCs/>
          <w:kern w:val="32"/>
          <w:lang w:val="ro-MO" w:eastAsia="zh-CN"/>
        </w:rPr>
        <w:t xml:space="preserve">Cristina TURCU, </w:t>
      </w:r>
      <w:r w:rsidR="002929F4" w:rsidRPr="002929F4">
        <w:rPr>
          <w:rFonts w:ascii="Calibri" w:eastAsia="Times New Roman" w:hAnsi="Calibri" w:cs="Times New Roman"/>
          <w:lang w:val="en-US"/>
        </w:rPr>
        <w:t>Director of Administrative and Communication Service</w:t>
      </w:r>
    </w:p>
    <w:p w:rsidR="002929F4" w:rsidRPr="002929F4" w:rsidRDefault="00AB100A" w:rsidP="002929F4">
      <w:pPr>
        <w:spacing w:after="0" w:line="240" w:lineRule="auto"/>
        <w:rPr>
          <w:rFonts w:ascii="Calibri" w:eastAsia="Times New Roman" w:hAnsi="Calibri" w:cs="Times New Roman"/>
          <w:lang w:val="en-US"/>
        </w:rPr>
      </w:pPr>
      <w:r w:rsidRPr="002929F4">
        <w:rPr>
          <w:rFonts w:eastAsia="Times New Roman" w:cs="Times New Roman"/>
          <w:bCs/>
          <w:kern w:val="32"/>
          <w:lang w:val="ro-MO" w:eastAsia="zh-CN"/>
        </w:rPr>
        <w:t xml:space="preserve">Aurelia CELAC, </w:t>
      </w:r>
      <w:r w:rsidR="002929F4" w:rsidRPr="002929F4">
        <w:rPr>
          <w:rFonts w:ascii="Calibri" w:eastAsia="Times New Roman" w:hAnsi="Calibri" w:cs="Times New Roman"/>
          <w:lang w:val="en-US"/>
        </w:rPr>
        <w:t xml:space="preserve">Accounting </w:t>
      </w:r>
      <w:r w:rsidR="002929F4" w:rsidRPr="002929F4">
        <w:rPr>
          <w:lang w:val="en-US"/>
        </w:rPr>
        <w:t>and</w:t>
      </w:r>
      <w:r w:rsidR="002929F4" w:rsidRPr="002929F4">
        <w:rPr>
          <w:rFonts w:ascii="Calibri" w:eastAsia="Times New Roman" w:hAnsi="Calibri" w:cs="Times New Roman"/>
          <w:lang w:val="en-US"/>
        </w:rPr>
        <w:t xml:space="preserve"> Financial Manager</w:t>
      </w:r>
    </w:p>
    <w:p w:rsidR="002929F4" w:rsidRPr="002929F4" w:rsidRDefault="00AB100A" w:rsidP="002929F4">
      <w:pPr>
        <w:spacing w:after="0" w:line="240" w:lineRule="auto"/>
        <w:rPr>
          <w:rFonts w:ascii="Calibri" w:eastAsia="Times New Roman" w:hAnsi="Calibri" w:cs="Times New Roman"/>
          <w:lang w:val="en-GB"/>
        </w:rPr>
      </w:pPr>
      <w:r w:rsidRPr="002929F4">
        <w:rPr>
          <w:rFonts w:eastAsia="Times New Roman" w:cs="Times New Roman"/>
          <w:bCs/>
          <w:kern w:val="32"/>
          <w:lang w:val="ro-MO" w:eastAsia="zh-CN"/>
        </w:rPr>
        <w:t xml:space="preserve">Ion GUZUN, </w:t>
      </w:r>
      <w:r w:rsidR="002929F4" w:rsidRPr="002929F4">
        <w:rPr>
          <w:rFonts w:ascii="Calibri" w:eastAsia="Times New Roman" w:hAnsi="Calibri" w:cs="Times New Roman"/>
          <w:lang w:val="en-US"/>
        </w:rPr>
        <w:t>Legal Officer</w:t>
      </w:r>
    </w:p>
    <w:p w:rsidR="002929F4" w:rsidRPr="002929F4" w:rsidRDefault="00AB100A" w:rsidP="002929F4">
      <w:pPr>
        <w:spacing w:after="0" w:line="240" w:lineRule="auto"/>
        <w:rPr>
          <w:rFonts w:ascii="Calibri" w:eastAsia="Times New Roman" w:hAnsi="Calibri" w:cs="Times New Roman"/>
          <w:lang w:val="en-GB"/>
        </w:rPr>
      </w:pPr>
      <w:r w:rsidRPr="002929F4">
        <w:rPr>
          <w:rFonts w:eastAsia="Times New Roman" w:cs="Times New Roman"/>
          <w:bCs/>
          <w:kern w:val="32"/>
          <w:lang w:val="ro-MO" w:eastAsia="zh-CN"/>
        </w:rPr>
        <w:t xml:space="preserve">Sorina MACRINICI, </w:t>
      </w:r>
      <w:r w:rsidR="002929F4" w:rsidRPr="002929F4">
        <w:rPr>
          <w:rFonts w:ascii="Calibri" w:eastAsia="Times New Roman" w:hAnsi="Calibri" w:cs="Times New Roman"/>
          <w:lang w:val="en-US"/>
        </w:rPr>
        <w:t>Legal Officer</w:t>
      </w:r>
    </w:p>
    <w:p w:rsidR="002929F4" w:rsidRPr="002929F4" w:rsidRDefault="00AB100A" w:rsidP="002929F4">
      <w:pPr>
        <w:spacing w:after="0" w:line="240" w:lineRule="auto"/>
        <w:rPr>
          <w:rFonts w:ascii="Calibri" w:eastAsia="Times New Roman" w:hAnsi="Calibri" w:cs="Times New Roman"/>
          <w:lang w:val="en-GB"/>
        </w:rPr>
      </w:pPr>
      <w:r w:rsidRPr="002929F4">
        <w:rPr>
          <w:rFonts w:eastAsia="Times New Roman" w:cs="Times New Roman"/>
          <w:bCs/>
          <w:kern w:val="32"/>
          <w:lang w:val="ro-MO" w:eastAsia="zh-CN"/>
        </w:rPr>
        <w:t xml:space="preserve">Pavel GRECU, </w:t>
      </w:r>
      <w:r w:rsidR="002929F4" w:rsidRPr="002929F4">
        <w:rPr>
          <w:rFonts w:ascii="Calibri" w:eastAsia="Times New Roman" w:hAnsi="Calibri" w:cs="Times New Roman"/>
          <w:lang w:val="en-US"/>
        </w:rPr>
        <w:t>Legal Officer</w:t>
      </w:r>
    </w:p>
    <w:p w:rsidR="002929F4" w:rsidRPr="002929F4" w:rsidRDefault="00AB100A" w:rsidP="002929F4">
      <w:pPr>
        <w:spacing w:after="0" w:line="240" w:lineRule="auto"/>
        <w:rPr>
          <w:rFonts w:ascii="Calibri" w:eastAsia="Times New Roman" w:hAnsi="Calibri" w:cs="Times New Roman"/>
          <w:lang w:val="en-US"/>
        </w:rPr>
      </w:pPr>
      <w:r w:rsidRPr="002929F4">
        <w:rPr>
          <w:rFonts w:eastAsia="Times New Roman" w:cs="Times New Roman"/>
          <w:bCs/>
          <w:kern w:val="32"/>
          <w:lang w:val="ro-MO" w:eastAsia="zh-CN"/>
        </w:rPr>
        <w:t xml:space="preserve">Mihaela CIBOTARU, </w:t>
      </w:r>
      <w:r w:rsidR="002929F4" w:rsidRPr="002929F4">
        <w:rPr>
          <w:rFonts w:ascii="Calibri" w:eastAsia="Times New Roman" w:hAnsi="Calibri" w:cs="Times New Roman"/>
          <w:lang w:val="en-US"/>
        </w:rPr>
        <w:t>Public relations Officer</w:t>
      </w:r>
    </w:p>
    <w:p w:rsidR="00AB100A" w:rsidRDefault="00AB100A" w:rsidP="00AB100A">
      <w:pPr>
        <w:spacing w:after="0" w:line="288" w:lineRule="auto"/>
        <w:contextualSpacing/>
        <w:jc w:val="both"/>
        <w:rPr>
          <w:rFonts w:eastAsia="Times New Roman" w:cs="Times New Roman"/>
          <w:b/>
          <w:bCs/>
          <w:kern w:val="32"/>
          <w:lang w:val="ro-MO" w:eastAsia="zh-CN"/>
        </w:rPr>
      </w:pPr>
    </w:p>
    <w:p w:rsidR="00C72194" w:rsidRDefault="00C72194" w:rsidP="00AB100A">
      <w:pPr>
        <w:spacing w:after="0" w:line="288" w:lineRule="auto"/>
        <w:contextualSpacing/>
        <w:jc w:val="both"/>
        <w:rPr>
          <w:rFonts w:eastAsia="Times New Roman" w:cs="Times New Roman"/>
          <w:b/>
          <w:bCs/>
          <w:kern w:val="32"/>
          <w:lang w:val="ro-MO" w:eastAsia="zh-CN"/>
        </w:rPr>
      </w:pPr>
    </w:p>
    <w:p w:rsidR="00C72194" w:rsidRPr="00D2304A" w:rsidRDefault="00C72194" w:rsidP="00AB100A">
      <w:pPr>
        <w:spacing w:after="0" w:line="288" w:lineRule="auto"/>
        <w:contextualSpacing/>
        <w:jc w:val="both"/>
        <w:rPr>
          <w:rFonts w:eastAsia="Times New Roman" w:cs="Times New Roman"/>
          <w:b/>
          <w:bCs/>
          <w:kern w:val="32"/>
          <w:lang w:val="ro-MO" w:eastAsia="zh-CN"/>
        </w:rPr>
      </w:pPr>
    </w:p>
    <w:p w:rsidR="00AB100A" w:rsidRPr="00D2304A" w:rsidRDefault="0023268C" w:rsidP="00AB100A">
      <w:pPr>
        <w:spacing w:after="0" w:line="288" w:lineRule="auto"/>
        <w:contextualSpacing/>
        <w:jc w:val="both"/>
        <w:rPr>
          <w:rFonts w:eastAsia="SimSun" w:cs="Times New Roman"/>
          <w:lang w:val="ro-MO" w:eastAsia="zh-CN"/>
        </w:rPr>
      </w:pPr>
      <w:r>
        <w:rPr>
          <w:rFonts w:eastAsia="Times New Roman" w:cs="Times New Roman"/>
          <w:b/>
          <w:bCs/>
          <w:kern w:val="32"/>
          <w:lang w:val="ro-MO" w:eastAsia="zh-CN"/>
        </w:rPr>
        <w:t>LRCM ADMINISTRATION BOARD</w:t>
      </w:r>
    </w:p>
    <w:p w:rsidR="006C65FD" w:rsidRDefault="006C65FD" w:rsidP="00AB100A">
      <w:pPr>
        <w:spacing w:after="0" w:line="288" w:lineRule="auto"/>
        <w:contextualSpacing/>
        <w:jc w:val="both"/>
        <w:rPr>
          <w:rFonts w:eastAsia="Times New Roman" w:cs="Times New Roman"/>
          <w:bCs/>
          <w:kern w:val="32"/>
          <w:u w:val="single"/>
          <w:lang w:val="ro-MO" w:eastAsia="zh-CN"/>
        </w:rPr>
      </w:pPr>
    </w:p>
    <w:p w:rsidR="00AB100A" w:rsidRPr="009F2C49" w:rsidRDefault="00D11357" w:rsidP="00AB100A">
      <w:pPr>
        <w:spacing w:after="0" w:line="288" w:lineRule="auto"/>
        <w:contextualSpacing/>
        <w:jc w:val="both"/>
        <w:rPr>
          <w:rFonts w:eastAsia="Times New Roman" w:cs="Times New Roman"/>
          <w:bCs/>
          <w:kern w:val="32"/>
          <w:u w:val="single"/>
          <w:lang w:val="en-US" w:eastAsia="zh-CN"/>
        </w:rPr>
      </w:pPr>
      <w:r w:rsidRPr="009F2C49">
        <w:rPr>
          <w:rFonts w:eastAsia="Times New Roman" w:cs="Times New Roman"/>
          <w:bCs/>
          <w:kern w:val="32"/>
          <w:u w:val="single"/>
          <w:lang w:val="en-US" w:eastAsia="zh-CN"/>
        </w:rPr>
        <w:t>Before July</w:t>
      </w:r>
      <w:r w:rsidR="00AB100A" w:rsidRPr="009F2C49">
        <w:rPr>
          <w:rFonts w:eastAsia="Times New Roman" w:cs="Times New Roman"/>
          <w:bCs/>
          <w:kern w:val="32"/>
          <w:u w:val="single"/>
          <w:lang w:val="en-US" w:eastAsia="zh-CN"/>
        </w:rPr>
        <w:t xml:space="preserve"> 2013</w:t>
      </w:r>
    </w:p>
    <w:p w:rsidR="00AB100A" w:rsidRPr="009F2C49" w:rsidRDefault="00AB100A" w:rsidP="00AB100A">
      <w:pPr>
        <w:spacing w:after="0" w:line="288" w:lineRule="auto"/>
        <w:contextualSpacing/>
        <w:jc w:val="both"/>
        <w:rPr>
          <w:rFonts w:eastAsia="SimSun" w:cs="Times New Roman"/>
          <w:lang w:val="en-US" w:eastAsia="zh-CN"/>
        </w:rPr>
      </w:pPr>
      <w:r w:rsidRPr="009F2C49">
        <w:rPr>
          <w:rFonts w:eastAsia="SimSun" w:cs="Times New Roman"/>
          <w:lang w:val="en-US" w:eastAsia="zh-CN"/>
        </w:rPr>
        <w:t xml:space="preserve">Elena BELEI, </w:t>
      </w:r>
      <w:r w:rsidR="009C2C54" w:rsidRPr="009F2C49">
        <w:rPr>
          <w:rFonts w:eastAsia="SimSun" w:cs="Times New Roman"/>
          <w:lang w:val="en-US" w:eastAsia="zh-CN"/>
        </w:rPr>
        <w:t>Ch</w:t>
      </w:r>
      <w:r w:rsidR="00F548EA" w:rsidRPr="009F2C49">
        <w:rPr>
          <w:rFonts w:eastAsia="SimSun" w:cs="Times New Roman"/>
          <w:lang w:val="en-US" w:eastAsia="zh-CN"/>
        </w:rPr>
        <w:t>a</w:t>
      </w:r>
      <w:r w:rsidR="009C2C54" w:rsidRPr="009F2C49">
        <w:rPr>
          <w:rFonts w:eastAsia="SimSun" w:cs="Times New Roman"/>
          <w:lang w:val="en-US" w:eastAsia="zh-CN"/>
        </w:rPr>
        <w:t>i</w:t>
      </w:r>
      <w:r w:rsidR="00F548EA" w:rsidRPr="009F2C49">
        <w:rPr>
          <w:rFonts w:eastAsia="SimSun" w:cs="Times New Roman"/>
          <w:lang w:val="en-US" w:eastAsia="zh-CN"/>
        </w:rPr>
        <w:t>rwoman</w:t>
      </w:r>
      <w:r w:rsidR="008C6A64">
        <w:rPr>
          <w:rFonts w:eastAsia="SimSun" w:cs="Times New Roman"/>
          <w:lang w:val="en-US" w:eastAsia="zh-CN"/>
        </w:rPr>
        <w:t xml:space="preserve">; </w:t>
      </w:r>
      <w:r w:rsidR="008C6A64">
        <w:rPr>
          <w:rStyle w:val="hps"/>
          <w:lang/>
        </w:rPr>
        <w:t>Head of</w:t>
      </w:r>
      <w:r w:rsidR="008C6A64">
        <w:rPr>
          <w:rStyle w:val="shorttext"/>
          <w:lang/>
        </w:rPr>
        <w:t xml:space="preserve"> </w:t>
      </w:r>
      <w:r w:rsidR="008C6A64">
        <w:rPr>
          <w:rStyle w:val="hps"/>
          <w:lang/>
        </w:rPr>
        <w:t>Department</w:t>
      </w:r>
      <w:r w:rsidR="008C6A64">
        <w:rPr>
          <w:rStyle w:val="shorttext"/>
          <w:lang/>
        </w:rPr>
        <w:t xml:space="preserve"> </w:t>
      </w:r>
      <w:r w:rsidR="008C6A64">
        <w:rPr>
          <w:rStyle w:val="hps"/>
          <w:lang/>
        </w:rPr>
        <w:t>"</w:t>
      </w:r>
      <w:r w:rsidR="008C6A64">
        <w:rPr>
          <w:rStyle w:val="shorttext"/>
          <w:lang/>
        </w:rPr>
        <w:t xml:space="preserve">Civil Procedure </w:t>
      </w:r>
      <w:r w:rsidR="008C6A64">
        <w:rPr>
          <w:rStyle w:val="hps"/>
          <w:lang/>
        </w:rPr>
        <w:t>Law</w:t>
      </w:r>
      <w:r w:rsidR="008C6A64">
        <w:rPr>
          <w:rStyle w:val="shorttext"/>
          <w:lang/>
        </w:rPr>
        <w:t xml:space="preserve">", </w:t>
      </w:r>
      <w:r w:rsidR="008C6A64">
        <w:rPr>
          <w:rStyle w:val="hps"/>
          <w:lang/>
        </w:rPr>
        <w:t>MSU</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Alexandru CANŢÎR</w:t>
      </w:r>
      <w:r w:rsidR="00B5325C">
        <w:rPr>
          <w:rFonts w:eastAsia="SimSun" w:cs="Times New Roman"/>
          <w:lang w:val="ro-MO" w:eastAsia="zh-CN"/>
        </w:rPr>
        <w:t xml:space="preserve">, </w:t>
      </w:r>
      <w:r w:rsidR="00B5325C">
        <w:rPr>
          <w:rStyle w:val="hps"/>
          <w:lang/>
        </w:rPr>
        <w:t>Editor,</w:t>
      </w:r>
      <w:r w:rsidR="00B5325C">
        <w:rPr>
          <w:rStyle w:val="shorttext"/>
          <w:lang/>
        </w:rPr>
        <w:t xml:space="preserve"> </w:t>
      </w:r>
      <w:r w:rsidR="00B5325C">
        <w:rPr>
          <w:rStyle w:val="hps"/>
          <w:lang/>
        </w:rPr>
        <w:t>Radio</w:t>
      </w:r>
      <w:r w:rsidR="00B5325C">
        <w:rPr>
          <w:rStyle w:val="shorttext"/>
          <w:lang/>
        </w:rPr>
        <w:t xml:space="preserve"> </w:t>
      </w:r>
      <w:r w:rsidR="00B5325C">
        <w:rPr>
          <w:rStyle w:val="hps"/>
          <w:lang/>
        </w:rPr>
        <w:t>Free Europe</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Igor GROSU</w:t>
      </w:r>
      <w:r w:rsidR="00AA12D7">
        <w:rPr>
          <w:rFonts w:eastAsia="SimSun" w:cs="Times New Roman"/>
          <w:lang w:val="ro-MO" w:eastAsia="zh-CN"/>
        </w:rPr>
        <w:t xml:space="preserve">, </w:t>
      </w:r>
      <w:r w:rsidR="00AA12D7">
        <w:rPr>
          <w:rStyle w:val="hps"/>
          <w:lang/>
        </w:rPr>
        <w:t>DFID</w:t>
      </w:r>
      <w:r w:rsidR="00AA12D7">
        <w:rPr>
          <w:lang/>
        </w:rPr>
        <w:t xml:space="preserve"> </w:t>
      </w:r>
      <w:r w:rsidR="00C03685">
        <w:rPr>
          <w:lang/>
        </w:rPr>
        <w:t xml:space="preserve">Project, </w:t>
      </w:r>
      <w:r w:rsidR="00AA12D7">
        <w:rPr>
          <w:rStyle w:val="hps"/>
          <w:lang/>
        </w:rPr>
        <w:t>Support</w:t>
      </w:r>
      <w:r w:rsidR="00AA12D7">
        <w:rPr>
          <w:lang/>
        </w:rPr>
        <w:t xml:space="preserve"> </w:t>
      </w:r>
      <w:r w:rsidR="00AA12D7">
        <w:rPr>
          <w:rStyle w:val="hps"/>
          <w:lang/>
        </w:rPr>
        <w:t>to implement</w:t>
      </w:r>
      <w:r w:rsidR="00AA12D7">
        <w:rPr>
          <w:lang/>
        </w:rPr>
        <w:t xml:space="preserve"> </w:t>
      </w:r>
      <w:r w:rsidR="00AA12D7">
        <w:rPr>
          <w:rStyle w:val="hps"/>
          <w:lang/>
        </w:rPr>
        <w:t>the National Development Strategy</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Valeriu PROHNIŢCHI</w:t>
      </w:r>
      <w:r w:rsidR="002E6AFB">
        <w:rPr>
          <w:rFonts w:eastAsia="SimSun" w:cs="Times New Roman"/>
          <w:lang w:val="ro-MO" w:eastAsia="zh-CN"/>
        </w:rPr>
        <w:t xml:space="preserve">, </w:t>
      </w:r>
      <w:r w:rsidR="002E6AFB">
        <w:rPr>
          <w:rStyle w:val="hps"/>
          <w:lang/>
        </w:rPr>
        <w:t>Executive Director,</w:t>
      </w:r>
      <w:r w:rsidR="002E6AFB">
        <w:rPr>
          <w:lang/>
        </w:rPr>
        <w:t xml:space="preserve"> </w:t>
      </w:r>
      <w:r w:rsidR="002E6AFB">
        <w:rPr>
          <w:rStyle w:val="hps"/>
          <w:lang/>
        </w:rPr>
        <w:t>Independent Analytical Center</w:t>
      </w:r>
      <w:r w:rsidR="002E6AFB">
        <w:rPr>
          <w:lang/>
        </w:rPr>
        <w:t xml:space="preserve"> </w:t>
      </w:r>
      <w:r w:rsidR="002E6AFB">
        <w:rPr>
          <w:rStyle w:val="hps"/>
          <w:lang/>
        </w:rPr>
        <w:t>EXPERT</w:t>
      </w:r>
      <w:r w:rsidR="002E6AFB">
        <w:rPr>
          <w:lang/>
        </w:rPr>
        <w:t>-GRUP</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Nicolae ROȘCA</w:t>
      </w:r>
      <w:r w:rsidR="00981AA0">
        <w:rPr>
          <w:rFonts w:eastAsia="SimSun" w:cs="Times New Roman"/>
          <w:lang w:val="ro-MO" w:eastAsia="zh-CN"/>
        </w:rPr>
        <w:t xml:space="preserve">, </w:t>
      </w:r>
      <w:r w:rsidR="00981AA0">
        <w:rPr>
          <w:rStyle w:val="hps"/>
          <w:lang/>
        </w:rPr>
        <w:t>Head of</w:t>
      </w:r>
      <w:r w:rsidR="00981AA0">
        <w:rPr>
          <w:rStyle w:val="shorttext"/>
          <w:lang/>
        </w:rPr>
        <w:t xml:space="preserve"> </w:t>
      </w:r>
      <w:r w:rsidR="00981AA0">
        <w:rPr>
          <w:rStyle w:val="hps"/>
          <w:lang/>
        </w:rPr>
        <w:t>Department</w:t>
      </w:r>
      <w:r w:rsidR="00981AA0">
        <w:rPr>
          <w:rStyle w:val="shorttext"/>
          <w:lang/>
        </w:rPr>
        <w:t xml:space="preserve"> </w:t>
      </w:r>
      <w:r w:rsidR="00981AA0">
        <w:rPr>
          <w:rStyle w:val="hps"/>
          <w:lang/>
        </w:rPr>
        <w:t>"</w:t>
      </w:r>
      <w:r w:rsidR="00981AA0">
        <w:rPr>
          <w:rStyle w:val="shorttext"/>
          <w:lang/>
        </w:rPr>
        <w:t>Entrepreneurship</w:t>
      </w:r>
      <w:r w:rsidR="000969DF">
        <w:rPr>
          <w:rStyle w:val="shorttext"/>
          <w:lang/>
        </w:rPr>
        <w:t xml:space="preserve"> Law</w:t>
      </w:r>
      <w:r w:rsidR="00981AA0">
        <w:rPr>
          <w:rStyle w:val="shorttext"/>
          <w:lang/>
        </w:rPr>
        <w:t>"</w:t>
      </w:r>
      <w:r w:rsidR="000969DF">
        <w:rPr>
          <w:rStyle w:val="shorttext"/>
          <w:lang/>
        </w:rPr>
        <w:t>, MSU</w:t>
      </w:r>
    </w:p>
    <w:p w:rsidR="00AB100A" w:rsidRPr="00D2304A" w:rsidRDefault="00AB100A" w:rsidP="00AB100A">
      <w:pPr>
        <w:spacing w:after="0" w:line="288" w:lineRule="auto"/>
        <w:contextualSpacing/>
        <w:jc w:val="both"/>
        <w:rPr>
          <w:rFonts w:eastAsia="Times New Roman" w:cs="Times New Roman"/>
          <w:bCs/>
          <w:kern w:val="32"/>
          <w:lang w:val="ro-MO" w:eastAsia="zh-CN"/>
        </w:rPr>
      </w:pPr>
    </w:p>
    <w:p w:rsidR="00AB100A" w:rsidRPr="009F2C49" w:rsidRDefault="00D11357" w:rsidP="00AB100A">
      <w:pPr>
        <w:spacing w:after="0" w:line="288" w:lineRule="auto"/>
        <w:contextualSpacing/>
        <w:jc w:val="both"/>
        <w:rPr>
          <w:rFonts w:eastAsia="Times New Roman" w:cs="Times New Roman"/>
          <w:bCs/>
          <w:kern w:val="32"/>
          <w:u w:val="single"/>
          <w:lang w:val="en-US" w:eastAsia="zh-CN"/>
        </w:rPr>
      </w:pPr>
      <w:r w:rsidRPr="009F2C49">
        <w:rPr>
          <w:rFonts w:eastAsia="Times New Roman" w:cs="Times New Roman"/>
          <w:bCs/>
          <w:kern w:val="32"/>
          <w:u w:val="single"/>
          <w:lang w:val="en-US" w:eastAsia="zh-CN"/>
        </w:rPr>
        <w:t>From September</w:t>
      </w:r>
      <w:r w:rsidR="00AB100A" w:rsidRPr="009F2C49">
        <w:rPr>
          <w:rFonts w:eastAsia="Times New Roman" w:cs="Times New Roman"/>
          <w:bCs/>
          <w:kern w:val="32"/>
          <w:u w:val="single"/>
          <w:lang w:val="en-US" w:eastAsia="zh-CN"/>
        </w:rPr>
        <w:t xml:space="preserve"> 2013</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 xml:space="preserve">Arcadie BARBĂROȘIE, </w:t>
      </w:r>
      <w:r w:rsidR="00F548EA">
        <w:rPr>
          <w:rFonts w:eastAsia="SimSun" w:cs="Times New Roman"/>
          <w:lang w:val="ro-MO" w:eastAsia="zh-CN"/>
        </w:rPr>
        <w:t>Chairman</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Elena BELEI</w:t>
      </w:r>
      <w:r w:rsidR="008C6A64">
        <w:rPr>
          <w:rFonts w:eastAsia="SimSun" w:cs="Times New Roman"/>
          <w:lang w:val="ro-MO" w:eastAsia="zh-CN"/>
        </w:rPr>
        <w:t xml:space="preserve">, </w:t>
      </w:r>
      <w:r w:rsidR="008C6A64">
        <w:rPr>
          <w:rStyle w:val="hps"/>
          <w:lang/>
        </w:rPr>
        <w:t>Head of</w:t>
      </w:r>
      <w:r w:rsidR="008C6A64">
        <w:rPr>
          <w:rStyle w:val="shorttext"/>
          <w:lang/>
        </w:rPr>
        <w:t xml:space="preserve"> </w:t>
      </w:r>
      <w:r w:rsidR="008C6A64">
        <w:rPr>
          <w:rStyle w:val="hps"/>
          <w:lang/>
        </w:rPr>
        <w:t>Department</w:t>
      </w:r>
      <w:r w:rsidR="008C6A64">
        <w:rPr>
          <w:rStyle w:val="shorttext"/>
          <w:lang/>
        </w:rPr>
        <w:t xml:space="preserve"> </w:t>
      </w:r>
      <w:r w:rsidR="008C6A64">
        <w:rPr>
          <w:rStyle w:val="hps"/>
          <w:lang/>
        </w:rPr>
        <w:t>"</w:t>
      </w:r>
      <w:r w:rsidR="008C6A64">
        <w:rPr>
          <w:rStyle w:val="shorttext"/>
          <w:lang/>
        </w:rPr>
        <w:t xml:space="preserve">Civil Procedure </w:t>
      </w:r>
      <w:r w:rsidR="008C6A64">
        <w:rPr>
          <w:rStyle w:val="hps"/>
          <w:lang/>
        </w:rPr>
        <w:t>Law</w:t>
      </w:r>
      <w:r w:rsidR="008C6A64">
        <w:rPr>
          <w:rStyle w:val="shorttext"/>
          <w:lang/>
        </w:rPr>
        <w:t xml:space="preserve">", </w:t>
      </w:r>
      <w:r w:rsidR="008C6A64">
        <w:rPr>
          <w:rStyle w:val="hps"/>
          <w:lang/>
        </w:rPr>
        <w:t>MSU</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Corina CEPOI</w:t>
      </w:r>
      <w:r w:rsidR="0025486E">
        <w:rPr>
          <w:rFonts w:eastAsia="SimSun" w:cs="Times New Roman"/>
          <w:lang w:val="ro-MO" w:eastAsia="zh-CN"/>
        </w:rPr>
        <w:t xml:space="preserve">, Project director, </w:t>
      </w:r>
      <w:r w:rsidR="0025486E" w:rsidRPr="00972B7D">
        <w:rPr>
          <w:lang w:val="ro-MO"/>
        </w:rPr>
        <w:t>Internews</w:t>
      </w:r>
      <w:r w:rsidR="0025486E">
        <w:rPr>
          <w:lang w:val="ro-MO"/>
        </w:rPr>
        <w:t xml:space="preserve"> Kyrgyzstan</w:t>
      </w:r>
      <w:r w:rsidRPr="00D2304A">
        <w:rPr>
          <w:rFonts w:eastAsia="SimSun" w:cs="Times New Roman"/>
          <w:lang w:val="ro-MO" w:eastAsia="zh-CN"/>
        </w:rPr>
        <w:t xml:space="preserve"> </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Peter-Vlad IANUȘEVICI</w:t>
      </w:r>
      <w:r w:rsidR="0077505F">
        <w:rPr>
          <w:rFonts w:eastAsia="SimSun" w:cs="Times New Roman"/>
          <w:lang w:val="ro-MO" w:eastAsia="zh-CN"/>
        </w:rPr>
        <w:t xml:space="preserve">, </w:t>
      </w:r>
      <w:r w:rsidR="0077505F">
        <w:rPr>
          <w:rStyle w:val="hps"/>
          <w:lang/>
        </w:rPr>
        <w:t>Founder</w:t>
      </w:r>
      <w:r w:rsidR="0077505F">
        <w:rPr>
          <w:rStyle w:val="shorttext"/>
          <w:lang/>
        </w:rPr>
        <w:t xml:space="preserve"> </w:t>
      </w:r>
      <w:r w:rsidR="0077505F">
        <w:rPr>
          <w:rStyle w:val="hps"/>
          <w:lang/>
        </w:rPr>
        <w:t>of the Nicolae</w:t>
      </w:r>
      <w:r w:rsidR="0077505F">
        <w:rPr>
          <w:rStyle w:val="shorttext"/>
          <w:lang/>
        </w:rPr>
        <w:t xml:space="preserve"> </w:t>
      </w:r>
      <w:r w:rsidR="0077505F">
        <w:rPr>
          <w:rStyle w:val="hps"/>
          <w:lang/>
        </w:rPr>
        <w:t>Dumitrescu Academy</w:t>
      </w:r>
      <w:r w:rsidR="0077505F">
        <w:rPr>
          <w:rStyle w:val="shorttext"/>
          <w:lang/>
        </w:rPr>
        <w:t>, trainer</w:t>
      </w:r>
    </w:p>
    <w:p w:rsidR="00AB100A" w:rsidRPr="00D2304A" w:rsidRDefault="00AB100A" w:rsidP="00AB100A">
      <w:pPr>
        <w:spacing w:after="0" w:line="288" w:lineRule="auto"/>
        <w:contextualSpacing/>
        <w:jc w:val="both"/>
        <w:rPr>
          <w:rFonts w:eastAsia="SimSun" w:cs="Times New Roman"/>
          <w:lang w:val="ro-MO" w:eastAsia="zh-CN"/>
        </w:rPr>
      </w:pPr>
      <w:r w:rsidRPr="00D2304A">
        <w:rPr>
          <w:rFonts w:eastAsia="SimSun" w:cs="Times New Roman"/>
          <w:lang w:val="ro-MO" w:eastAsia="zh-CN"/>
        </w:rPr>
        <w:t>Nicolae ROȘCA</w:t>
      </w:r>
      <w:r w:rsidR="0025486E">
        <w:rPr>
          <w:rFonts w:eastAsia="SimSun" w:cs="Times New Roman"/>
          <w:lang w:val="ro-MO" w:eastAsia="zh-CN"/>
        </w:rPr>
        <w:t>,</w:t>
      </w:r>
      <w:r w:rsidR="0025486E" w:rsidRPr="0025486E">
        <w:rPr>
          <w:rFonts w:eastAsia="SimSun" w:cs="Times New Roman"/>
          <w:lang w:val="ro-MO" w:eastAsia="zh-CN"/>
        </w:rPr>
        <w:t xml:space="preserve"> </w:t>
      </w:r>
      <w:r w:rsidR="0025486E">
        <w:rPr>
          <w:rStyle w:val="hps"/>
          <w:lang/>
        </w:rPr>
        <w:t>Head of</w:t>
      </w:r>
      <w:r w:rsidR="0025486E">
        <w:rPr>
          <w:rStyle w:val="shorttext"/>
          <w:lang/>
        </w:rPr>
        <w:t xml:space="preserve"> </w:t>
      </w:r>
      <w:r w:rsidR="0025486E">
        <w:rPr>
          <w:rStyle w:val="hps"/>
          <w:lang/>
        </w:rPr>
        <w:t>Department</w:t>
      </w:r>
      <w:r w:rsidR="0025486E">
        <w:rPr>
          <w:rStyle w:val="shorttext"/>
          <w:lang/>
        </w:rPr>
        <w:t xml:space="preserve"> </w:t>
      </w:r>
      <w:r w:rsidR="0025486E">
        <w:rPr>
          <w:rStyle w:val="hps"/>
          <w:lang/>
        </w:rPr>
        <w:t>"</w:t>
      </w:r>
      <w:r w:rsidR="0025486E">
        <w:rPr>
          <w:rStyle w:val="shorttext"/>
          <w:lang/>
        </w:rPr>
        <w:t>Entrepreneurship Law", MSU</w:t>
      </w:r>
    </w:p>
    <w:p w:rsidR="009B0B6B" w:rsidRDefault="009B0B6B" w:rsidP="001369A8">
      <w:pPr>
        <w:spacing w:after="0" w:line="288" w:lineRule="auto"/>
        <w:rPr>
          <w:rFonts w:eastAsia="SimSun" w:cs="Times New Roman"/>
          <w:b/>
          <w:noProof/>
          <w:lang w:val="ro-MO" w:eastAsia="en-GB"/>
        </w:rPr>
      </w:pPr>
    </w:p>
    <w:p w:rsidR="009B0B6B" w:rsidRDefault="009B0B6B" w:rsidP="001369A8">
      <w:pPr>
        <w:spacing w:after="0" w:line="288" w:lineRule="auto"/>
        <w:rPr>
          <w:rFonts w:eastAsia="SimSun" w:cs="Times New Roman"/>
          <w:b/>
          <w:noProof/>
          <w:lang w:val="ro-MO" w:eastAsia="en-GB"/>
        </w:rPr>
      </w:pPr>
    </w:p>
    <w:p w:rsidR="00C72194" w:rsidRDefault="00C72194" w:rsidP="001369A8">
      <w:pPr>
        <w:spacing w:after="0" w:line="288" w:lineRule="auto"/>
        <w:rPr>
          <w:rFonts w:eastAsia="SimSun" w:cs="Times New Roman"/>
          <w:b/>
          <w:noProof/>
          <w:lang w:val="ro-MO" w:eastAsia="en-GB"/>
        </w:rPr>
      </w:pPr>
    </w:p>
    <w:p w:rsidR="0070763D" w:rsidRPr="008E56B5" w:rsidRDefault="008E56B5" w:rsidP="0070763D">
      <w:pPr>
        <w:spacing w:after="0" w:line="288" w:lineRule="auto"/>
        <w:contextualSpacing/>
        <w:jc w:val="both"/>
        <w:rPr>
          <w:rFonts w:eastAsia="SimSun" w:cs="Times New Roman"/>
          <w:lang w:val="en-US" w:eastAsia="zh-CN"/>
        </w:rPr>
      </w:pPr>
      <w:r w:rsidRPr="008E56B5">
        <w:rPr>
          <w:rFonts w:eastAsia="Times New Roman" w:cs="Times New Roman"/>
          <w:b/>
          <w:bCs/>
          <w:kern w:val="32"/>
          <w:lang w:val="en-US" w:eastAsia="zh-CN"/>
        </w:rPr>
        <w:t>LRCM SU</w:t>
      </w:r>
      <w:r>
        <w:rPr>
          <w:rFonts w:eastAsia="Times New Roman" w:cs="Times New Roman"/>
          <w:b/>
          <w:bCs/>
          <w:kern w:val="32"/>
          <w:lang w:val="en-US" w:eastAsia="zh-CN"/>
        </w:rPr>
        <w:t>P</w:t>
      </w:r>
      <w:r w:rsidRPr="008E56B5">
        <w:rPr>
          <w:rFonts w:eastAsia="Times New Roman" w:cs="Times New Roman"/>
          <w:b/>
          <w:bCs/>
          <w:kern w:val="32"/>
          <w:lang w:val="en-US" w:eastAsia="zh-CN"/>
        </w:rPr>
        <w:t xml:space="preserve">PORTERS AND DONORS </w:t>
      </w:r>
    </w:p>
    <w:p w:rsidR="009B0B6B" w:rsidRPr="007B6B19" w:rsidRDefault="009B0B6B" w:rsidP="001369A8">
      <w:pPr>
        <w:spacing w:after="0" w:line="288" w:lineRule="auto"/>
        <w:rPr>
          <w:rFonts w:eastAsia="SimSun" w:cs="Times New Roman"/>
          <w:b/>
          <w:lang w:val="en-US" w:eastAsia="en-GB"/>
        </w:rPr>
      </w:pPr>
    </w:p>
    <w:p w:rsidR="00714888" w:rsidRPr="007B6B19" w:rsidRDefault="00714888" w:rsidP="00714888">
      <w:pPr>
        <w:spacing w:after="0" w:line="360" w:lineRule="auto"/>
        <w:rPr>
          <w:lang w:val="en-US"/>
        </w:rPr>
      </w:pPr>
      <w:r w:rsidRPr="007B6B19">
        <w:rPr>
          <w:lang w:val="en-US"/>
        </w:rPr>
        <w:t>American Bar Association Rule of Law Initiative (ABA ROLI Moldova)</w:t>
      </w:r>
    </w:p>
    <w:p w:rsidR="00714888" w:rsidRPr="007B6B19" w:rsidRDefault="00714888" w:rsidP="00714888">
      <w:pPr>
        <w:spacing w:after="0" w:line="360" w:lineRule="auto"/>
        <w:rPr>
          <w:lang w:val="en-US"/>
        </w:rPr>
      </w:pPr>
      <w:r w:rsidRPr="007B6B19">
        <w:rPr>
          <w:rFonts w:eastAsia="Times New Roman" w:cstheme="minorHAnsi"/>
          <w:lang w:val="en-US"/>
        </w:rPr>
        <w:t>Delegation of the European Union to Moldova</w:t>
      </w:r>
      <w:r w:rsidRPr="007B6B19">
        <w:rPr>
          <w:lang w:val="en-US"/>
        </w:rPr>
        <w:t xml:space="preserve"> </w:t>
      </w:r>
    </w:p>
    <w:p w:rsidR="00714888" w:rsidRPr="007B6B19" w:rsidRDefault="00714888" w:rsidP="00714888">
      <w:pPr>
        <w:spacing w:after="0" w:line="360" w:lineRule="auto"/>
        <w:rPr>
          <w:lang w:val="en-US"/>
        </w:rPr>
      </w:pPr>
      <w:r w:rsidRPr="007B6B19">
        <w:rPr>
          <w:lang w:val="en-US"/>
        </w:rPr>
        <w:t>East-Europe Foundation</w:t>
      </w:r>
    </w:p>
    <w:p w:rsidR="00714888" w:rsidRPr="007B6B19" w:rsidRDefault="00714888" w:rsidP="00714888">
      <w:pPr>
        <w:spacing w:after="0" w:line="360" w:lineRule="auto"/>
        <w:rPr>
          <w:lang w:val="en-US"/>
        </w:rPr>
      </w:pPr>
      <w:r w:rsidRPr="007B6B19">
        <w:rPr>
          <w:lang w:val="en-US"/>
        </w:rPr>
        <w:t>Embassy of the United States of America to Moldova</w:t>
      </w:r>
    </w:p>
    <w:p w:rsidR="00714888" w:rsidRPr="007B6B19" w:rsidRDefault="00714888" w:rsidP="00714888">
      <w:pPr>
        <w:spacing w:after="0" w:line="360" w:lineRule="auto"/>
        <w:rPr>
          <w:lang w:val="en-US"/>
        </w:rPr>
      </w:pPr>
      <w:r w:rsidRPr="007B6B19">
        <w:rPr>
          <w:lang w:val="en-US"/>
        </w:rPr>
        <w:t>Ludwig Boltzmann Institute for Human Rights</w:t>
      </w:r>
    </w:p>
    <w:p w:rsidR="00714888" w:rsidRPr="007B6B19" w:rsidRDefault="00714888" w:rsidP="00714888">
      <w:pPr>
        <w:spacing w:after="0" w:line="360" w:lineRule="auto"/>
        <w:rPr>
          <w:lang w:val="en-US"/>
        </w:rPr>
      </w:pPr>
      <w:r w:rsidRPr="007B6B19">
        <w:rPr>
          <w:lang w:val="en-US"/>
        </w:rPr>
        <w:t>Open Society Foundations</w:t>
      </w:r>
    </w:p>
    <w:p w:rsidR="00714888" w:rsidRPr="007B6B19" w:rsidRDefault="00714888" w:rsidP="00714888">
      <w:pPr>
        <w:spacing w:after="0" w:line="360" w:lineRule="auto"/>
        <w:rPr>
          <w:lang w:val="en-US"/>
        </w:rPr>
      </w:pPr>
      <w:r w:rsidRPr="007B6B19">
        <w:rPr>
          <w:lang w:val="en-US"/>
        </w:rPr>
        <w:t>Soros Foundation-Moldova</w:t>
      </w:r>
    </w:p>
    <w:p w:rsidR="00714888" w:rsidRPr="007B6B19" w:rsidRDefault="00714888" w:rsidP="00714888">
      <w:pPr>
        <w:spacing w:after="0" w:line="360" w:lineRule="auto"/>
        <w:rPr>
          <w:lang w:val="en-US"/>
        </w:rPr>
      </w:pPr>
      <w:r w:rsidRPr="007B6B19">
        <w:rPr>
          <w:lang w:val="en-US"/>
        </w:rPr>
        <w:t>The Norwegian Mission of Rule of Law Advisers to Moldova (NORLAM)</w:t>
      </w:r>
    </w:p>
    <w:p w:rsidR="00714888" w:rsidRPr="007B6B19" w:rsidRDefault="00714888" w:rsidP="00714888">
      <w:pPr>
        <w:spacing w:after="0" w:line="360" w:lineRule="auto"/>
        <w:rPr>
          <w:rFonts w:eastAsia="Times New Roman" w:cs="Arial"/>
          <w:lang w:val="en-US"/>
        </w:rPr>
      </w:pPr>
      <w:r w:rsidRPr="007B6B19">
        <w:rPr>
          <w:rFonts w:eastAsia="Times New Roman" w:cs="Arial"/>
          <w:lang w:val="en-US"/>
        </w:rPr>
        <w:t>USAID Rule of Law Institutional Strengthening Program (ROLISP)</w:t>
      </w:r>
    </w:p>
    <w:p w:rsidR="00C72194" w:rsidRPr="00714888" w:rsidRDefault="00C72194" w:rsidP="002D5B9A">
      <w:pPr>
        <w:spacing w:after="0" w:line="360" w:lineRule="auto"/>
        <w:rPr>
          <w:rFonts w:eastAsia="Times New Roman" w:cs="Arial"/>
        </w:rPr>
      </w:pPr>
    </w:p>
    <w:p w:rsidR="009B0B6B" w:rsidRDefault="009B0B6B" w:rsidP="001369A8">
      <w:pPr>
        <w:spacing w:after="0" w:line="288" w:lineRule="auto"/>
        <w:rPr>
          <w:rFonts w:eastAsia="SimSun" w:cs="Times New Roman"/>
          <w:b/>
          <w:noProof/>
          <w:lang w:val="ro-MO" w:eastAsia="en-GB"/>
        </w:rPr>
      </w:pPr>
    </w:p>
    <w:p w:rsidR="009B0B6B" w:rsidRDefault="009B0B6B" w:rsidP="001369A8">
      <w:pPr>
        <w:spacing w:after="0" w:line="288" w:lineRule="auto"/>
        <w:rPr>
          <w:rFonts w:eastAsia="SimSun" w:cs="Times New Roman"/>
          <w:b/>
          <w:noProof/>
          <w:lang w:val="ro-MO" w:eastAsia="en-GB"/>
        </w:rPr>
      </w:pPr>
    </w:p>
    <w:p w:rsidR="009B0B6B" w:rsidRDefault="009B0B6B" w:rsidP="001369A8">
      <w:pPr>
        <w:spacing w:after="0" w:line="288" w:lineRule="auto"/>
        <w:rPr>
          <w:rFonts w:eastAsia="SimSun" w:cs="Times New Roman"/>
          <w:b/>
          <w:noProof/>
          <w:lang w:val="ro-MO" w:eastAsia="en-GB"/>
        </w:rPr>
      </w:pPr>
    </w:p>
    <w:p w:rsidR="00111C8D" w:rsidRPr="00AB77BB" w:rsidRDefault="00111C8D" w:rsidP="00111C8D">
      <w:pPr>
        <w:spacing w:after="0" w:line="288" w:lineRule="auto"/>
        <w:jc w:val="both"/>
        <w:rPr>
          <w:rFonts w:eastAsia="SimSun" w:cs="Times New Roman"/>
          <w:b/>
          <w:lang w:eastAsia="zh-CN"/>
        </w:rPr>
      </w:pPr>
      <w:r>
        <w:rPr>
          <w:rFonts w:eastAsia="SimSun" w:cs="Times New Roman"/>
          <w:b/>
          <w:lang w:eastAsia="zh-CN"/>
        </w:rPr>
        <w:t>ON BEHALF OF THE LRCM MANAGEMENT</w:t>
      </w:r>
    </w:p>
    <w:p w:rsidR="00111C8D" w:rsidRPr="00AB77BB" w:rsidRDefault="00111C8D" w:rsidP="00111C8D">
      <w:pPr>
        <w:spacing w:after="0" w:line="288" w:lineRule="auto"/>
        <w:jc w:val="both"/>
        <w:rPr>
          <w:rFonts w:eastAsia="SimSun" w:cs="Times New Roman"/>
          <w:b/>
          <w:lang w:eastAsia="zh-CN"/>
        </w:rPr>
      </w:pPr>
    </w:p>
    <w:p w:rsidR="00111C8D" w:rsidRPr="004A26A3" w:rsidRDefault="00111C8D" w:rsidP="00111C8D">
      <w:pPr>
        <w:spacing w:after="0" w:line="288" w:lineRule="auto"/>
        <w:jc w:val="both"/>
        <w:rPr>
          <w:rFonts w:eastAsia="SimSun" w:cs="Times New Roman"/>
          <w:color w:val="002060"/>
          <w:lang w:val="en-US" w:eastAsia="zh-CN"/>
        </w:rPr>
      </w:pPr>
      <w:r w:rsidRPr="004A26A3">
        <w:rPr>
          <w:rFonts w:eastAsia="SimSun" w:cs="Times New Roman"/>
          <w:lang w:val="en-US" w:eastAsia="zh-CN"/>
        </w:rPr>
        <w:t xml:space="preserve">In 2013, a significant part of the efforts of the Legal Resource Center of Moldova (LRCM) was focused on strengthening the organization’s institutional capacities. The following activities were carried out: The LRCM Strategy for 2013-2917 was developed and adopted; the LRCM organizational chart was amended; work on the LRCM communication strategy was started; work started on codifying and adapting the LRCM internal policies; development of a new website started, etc. All fundraising efforts made in 2013 were successful. </w:t>
      </w:r>
    </w:p>
    <w:p w:rsidR="00111C8D" w:rsidRPr="004A26A3" w:rsidRDefault="00111C8D" w:rsidP="00111C8D">
      <w:pPr>
        <w:spacing w:after="0" w:line="288" w:lineRule="auto"/>
        <w:jc w:val="both"/>
        <w:rPr>
          <w:rFonts w:eastAsia="SimSun" w:cs="Times New Roman"/>
          <w:lang w:val="en-US" w:eastAsia="zh-CN"/>
        </w:rPr>
      </w:pPr>
    </w:p>
    <w:p w:rsidR="00727D89" w:rsidRPr="004A26A3" w:rsidRDefault="00111C8D" w:rsidP="00111C8D">
      <w:pPr>
        <w:spacing w:after="0" w:line="288" w:lineRule="auto"/>
        <w:jc w:val="both"/>
        <w:rPr>
          <w:rFonts w:cs="Times New Roman"/>
          <w:lang w:val="en-US"/>
        </w:rPr>
      </w:pPr>
      <w:r w:rsidRPr="004A26A3">
        <w:rPr>
          <w:rFonts w:eastAsia="SimSun" w:cs="Times New Roman"/>
          <w:lang w:val="en-US" w:eastAsia="zh-CN"/>
        </w:rPr>
        <w:t>The year 2013 was marked in Moldova by a number of initiatives aimed at reforming the justice sector. The review, research, and advocacy activities of the LRCM were mainly focused on the court and prosecution reforms. At the request of the authorities, the LRCM developed three studies crucial for the Moldovan justice sector reform: on</w:t>
      </w:r>
      <w:r w:rsidR="00FC6242">
        <w:rPr>
          <w:rFonts w:eastAsia="SimSun" w:cs="Times New Roman"/>
          <w:lang w:val="en-US" w:eastAsia="zh-CN"/>
        </w:rPr>
        <w:t xml:space="preserve"> optimization of the judicial map</w:t>
      </w:r>
      <w:r w:rsidRPr="004A26A3">
        <w:rPr>
          <w:rFonts w:eastAsia="SimSun" w:cs="Times New Roman"/>
          <w:lang w:val="en-US" w:eastAsia="zh-CN"/>
        </w:rPr>
        <w:t xml:space="preserve"> </w:t>
      </w:r>
      <w:r w:rsidR="00FC6242">
        <w:rPr>
          <w:rFonts w:eastAsia="SimSun" w:cs="Times New Roman"/>
          <w:lang w:val="en-US" w:eastAsia="zh-CN"/>
        </w:rPr>
        <w:t>(</w:t>
      </w:r>
      <w:commentRangeStart w:id="0"/>
      <w:r w:rsidRPr="00FC6242">
        <w:rPr>
          <w:rFonts w:eastAsia="SimSun" w:cs="Times New Roman"/>
          <w:color w:val="FF0000"/>
          <w:lang w:val="en-US" w:eastAsia="zh-CN"/>
        </w:rPr>
        <w:t>streamlining the court map</w:t>
      </w:r>
      <w:commentRangeEnd w:id="0"/>
      <w:r w:rsidR="00FC6242">
        <w:rPr>
          <w:rStyle w:val="CommentReference"/>
        </w:rPr>
        <w:commentReference w:id="0"/>
      </w:r>
      <w:r w:rsidR="00FC6242">
        <w:rPr>
          <w:rFonts w:eastAsia="SimSun" w:cs="Times New Roman"/>
          <w:color w:val="FF0000"/>
          <w:lang w:val="en-US" w:eastAsia="zh-CN"/>
        </w:rPr>
        <w:t>)</w:t>
      </w:r>
      <w:r w:rsidRPr="004A26A3">
        <w:rPr>
          <w:rFonts w:eastAsia="SimSun" w:cs="Times New Roman"/>
          <w:lang w:val="en-US" w:eastAsia="zh-CN"/>
        </w:rPr>
        <w:t xml:space="preserve">; on the specialization of judges and </w:t>
      </w:r>
      <w:r w:rsidR="00AC628E">
        <w:rPr>
          <w:rFonts w:eastAsia="SimSun" w:cs="Times New Roman"/>
          <w:lang w:val="en-US" w:eastAsia="zh-CN"/>
        </w:rPr>
        <w:t>feasibility</w:t>
      </w:r>
      <w:r w:rsidR="00441566">
        <w:rPr>
          <w:rFonts w:eastAsia="SimSun" w:cs="Times New Roman"/>
          <w:lang w:val="en-US" w:eastAsia="zh-CN"/>
        </w:rPr>
        <w:t xml:space="preserve"> of </w:t>
      </w:r>
      <w:r w:rsidR="00441566" w:rsidRPr="004A26A3">
        <w:rPr>
          <w:rFonts w:eastAsia="SimSun" w:cs="Times New Roman"/>
          <w:lang w:val="en-US" w:eastAsia="zh-CN"/>
        </w:rPr>
        <w:t>creat</w:t>
      </w:r>
      <w:r w:rsidR="00441566">
        <w:rPr>
          <w:rFonts w:eastAsia="SimSun" w:cs="Times New Roman"/>
          <w:lang w:val="en-US" w:eastAsia="zh-CN"/>
        </w:rPr>
        <w:t>ing</w:t>
      </w:r>
      <w:r w:rsidR="00441566" w:rsidRPr="004A26A3">
        <w:rPr>
          <w:rFonts w:eastAsia="SimSun" w:cs="Times New Roman"/>
          <w:lang w:val="en-US" w:eastAsia="zh-CN"/>
        </w:rPr>
        <w:t xml:space="preserve"> </w:t>
      </w:r>
      <w:r w:rsidR="00441566" w:rsidRPr="00441566">
        <w:rPr>
          <w:rFonts w:eastAsia="SimSun" w:cs="Times New Roman"/>
          <w:lang w:val="en-US" w:eastAsia="zh-CN"/>
        </w:rPr>
        <w:t>administrative courts system</w:t>
      </w:r>
      <w:r w:rsidR="00441566">
        <w:rPr>
          <w:rFonts w:eastAsia="SimSun" w:cs="Times New Roman"/>
          <w:lang w:val="en-US" w:eastAsia="zh-CN"/>
        </w:rPr>
        <w:t xml:space="preserve"> (</w:t>
      </w:r>
      <w:commentRangeStart w:id="1"/>
      <w:r w:rsidRPr="009F2C49">
        <w:rPr>
          <w:rFonts w:eastAsia="SimSun" w:cs="Times New Roman"/>
          <w:color w:val="FF0000"/>
          <w:lang w:val="en-US" w:eastAsia="zh-CN"/>
        </w:rPr>
        <w:t>timeliness</w:t>
      </w:r>
      <w:r w:rsidRPr="004A26A3">
        <w:rPr>
          <w:rFonts w:eastAsia="SimSun" w:cs="Times New Roman"/>
          <w:lang w:val="en-US" w:eastAsia="zh-CN"/>
        </w:rPr>
        <w:t xml:space="preserve"> </w:t>
      </w:r>
      <w:r w:rsidRPr="00441566">
        <w:rPr>
          <w:rFonts w:eastAsia="SimSun" w:cs="Times New Roman"/>
          <w:color w:val="FF0000"/>
          <w:lang w:val="en-US" w:eastAsia="zh-CN"/>
        </w:rPr>
        <w:t>to create an</w:t>
      </w:r>
      <w:r w:rsidRPr="004A26A3">
        <w:rPr>
          <w:rFonts w:eastAsia="SimSun" w:cs="Times New Roman"/>
          <w:lang w:val="en-US" w:eastAsia="zh-CN"/>
        </w:rPr>
        <w:t xml:space="preserve"> </w:t>
      </w:r>
      <w:r w:rsidRPr="009F2C49">
        <w:rPr>
          <w:rFonts w:eastAsia="SimSun" w:cs="Times New Roman"/>
          <w:color w:val="FF0000"/>
          <w:lang w:val="en-US" w:eastAsia="zh-CN"/>
        </w:rPr>
        <w:t>administrative review court system</w:t>
      </w:r>
      <w:commentRangeEnd w:id="1"/>
      <w:r w:rsidR="00441566">
        <w:rPr>
          <w:rStyle w:val="CommentReference"/>
        </w:rPr>
        <w:commentReference w:id="1"/>
      </w:r>
      <w:r w:rsidR="00441566">
        <w:rPr>
          <w:rFonts w:eastAsia="SimSun" w:cs="Times New Roman"/>
          <w:color w:val="FF0000"/>
          <w:lang w:val="en-US" w:eastAsia="zh-CN"/>
        </w:rPr>
        <w:t>)</w:t>
      </w:r>
      <w:r w:rsidRPr="004A26A3">
        <w:rPr>
          <w:rFonts w:eastAsia="SimSun" w:cs="Times New Roman"/>
          <w:lang w:val="en-US" w:eastAsia="zh-CN"/>
        </w:rPr>
        <w:t xml:space="preserve">; and on streamlining the structure of prosecution bodies and the number of prosecutors. According to the Justice Sector Reform Strategy </w:t>
      </w:r>
      <w:r w:rsidRPr="004A26A3">
        <w:rPr>
          <w:rFonts w:cs="Times New Roman"/>
          <w:lang w:val="en-US"/>
        </w:rPr>
        <w:t>(JSRS), these studies will serve as basis for the state policies in these areas.</w:t>
      </w:r>
    </w:p>
    <w:p w:rsidR="00727D89" w:rsidRPr="004A26A3" w:rsidRDefault="00727D89" w:rsidP="001369A8">
      <w:pPr>
        <w:spacing w:after="0" w:line="288" w:lineRule="auto"/>
        <w:jc w:val="both"/>
        <w:rPr>
          <w:rFonts w:cs="Times New Roman"/>
          <w:lang w:val="en-US"/>
        </w:rPr>
      </w:pPr>
    </w:p>
    <w:p w:rsidR="00111C8D" w:rsidRPr="004A26A3" w:rsidRDefault="00111C8D" w:rsidP="00111C8D">
      <w:pPr>
        <w:spacing w:after="0" w:line="288" w:lineRule="auto"/>
        <w:jc w:val="both"/>
        <w:rPr>
          <w:rFonts w:cs="Times New Roman"/>
          <w:lang w:val="en-US"/>
        </w:rPr>
      </w:pPr>
      <w:r w:rsidRPr="004A26A3">
        <w:rPr>
          <w:rFonts w:cs="Times New Roman"/>
          <w:lang w:val="en-US"/>
        </w:rPr>
        <w:t xml:space="preserve">The </w:t>
      </w:r>
      <w:r w:rsidRPr="004A26A3">
        <w:rPr>
          <w:rFonts w:eastAsia="SimSun" w:cs="Times New Roman"/>
          <w:lang w:val="en-US" w:eastAsia="zh-CN"/>
        </w:rPr>
        <w:t xml:space="preserve">LRCM </w:t>
      </w:r>
      <w:r w:rsidRPr="004A26A3">
        <w:rPr>
          <w:rFonts w:cs="Times New Roman"/>
          <w:lang w:val="en-US"/>
        </w:rPr>
        <w:t xml:space="preserve">was involved in developing the draft law on the disciplinary liability of judges and on improving the legal framework of the Superior Council of Magistracy (SCM) on appointing, promoting, and evaluating judges and the SCM transparency. The </w:t>
      </w:r>
      <w:r w:rsidRPr="004A26A3">
        <w:rPr>
          <w:rFonts w:eastAsia="SimSun" w:cs="Times New Roman"/>
          <w:lang w:val="en-US" w:eastAsia="zh-CN"/>
        </w:rPr>
        <w:t xml:space="preserve">LRCM </w:t>
      </w:r>
      <w:r w:rsidRPr="004A26A3">
        <w:rPr>
          <w:rFonts w:cs="Times New Roman"/>
          <w:lang w:val="en-US"/>
        </w:rPr>
        <w:t xml:space="preserve">was actively involved in developing the new draft law on </w:t>
      </w:r>
      <w:r w:rsidR="00C61C9A">
        <w:rPr>
          <w:rFonts w:cs="Times New Roman"/>
          <w:lang w:val="en-US"/>
        </w:rPr>
        <w:t>P</w:t>
      </w:r>
      <w:r w:rsidRPr="004A26A3">
        <w:rPr>
          <w:rFonts w:cs="Times New Roman"/>
          <w:lang w:val="en-US"/>
        </w:rPr>
        <w:t xml:space="preserve">rosecution, which reflects the best European practices on prosecution. </w:t>
      </w:r>
    </w:p>
    <w:p w:rsidR="00111C8D" w:rsidRPr="004A26A3" w:rsidRDefault="00111C8D" w:rsidP="00111C8D">
      <w:pPr>
        <w:spacing w:after="0" w:line="288" w:lineRule="auto"/>
        <w:jc w:val="both"/>
        <w:rPr>
          <w:rFonts w:cs="Times New Roman"/>
          <w:lang w:val="en-US"/>
        </w:rPr>
      </w:pPr>
    </w:p>
    <w:p w:rsidR="00111C8D" w:rsidRPr="004A26A3" w:rsidRDefault="00111C8D" w:rsidP="00111C8D">
      <w:pPr>
        <w:spacing w:after="0" w:line="288" w:lineRule="auto"/>
        <w:jc w:val="both"/>
        <w:rPr>
          <w:rFonts w:cs="Times New Roman"/>
          <w:lang w:val="en-US"/>
        </w:rPr>
      </w:pPr>
      <w:r w:rsidRPr="004A26A3">
        <w:rPr>
          <w:rFonts w:cs="Times New Roman"/>
          <w:lang w:val="en-US"/>
        </w:rPr>
        <w:t xml:space="preserve">The </w:t>
      </w:r>
      <w:r w:rsidRPr="004A26A3">
        <w:rPr>
          <w:rFonts w:eastAsia="SimSun" w:cs="Times New Roman"/>
          <w:lang w:val="en-US" w:eastAsia="zh-CN"/>
        </w:rPr>
        <w:t xml:space="preserve">LRCM </w:t>
      </w:r>
      <w:r w:rsidRPr="004A26A3">
        <w:rPr>
          <w:rFonts w:cs="Times New Roman"/>
          <w:lang w:val="en-US"/>
        </w:rPr>
        <w:t xml:space="preserve">continued monitoring the work of the SCM and published a report with recommendations for enhancing the SCM efficiency and transparency. The </w:t>
      </w:r>
      <w:r w:rsidRPr="004A26A3">
        <w:rPr>
          <w:rFonts w:eastAsia="SimSun" w:cs="Times New Roman"/>
          <w:lang w:val="en-US" w:eastAsia="zh-CN"/>
        </w:rPr>
        <w:t>LRCM</w:t>
      </w:r>
      <w:r w:rsidRPr="004A26A3">
        <w:rPr>
          <w:rFonts w:cs="Times New Roman"/>
          <w:lang w:val="en-US"/>
        </w:rPr>
        <w:t xml:space="preserve">, together with over ten nongovernmental organizations (NGOs) and experts, started a campaign for ensuring the transparency and fairness of the appointment by the Parliament of SCM and Constitutional Court members, which was supposed to take place in the second half of 2013. This campaign led to amendments to the legislation requiring transparent selection of SCM and Superior Council of Prosecutors (SCP) members by the Parliament. </w:t>
      </w:r>
    </w:p>
    <w:p w:rsidR="00111C8D" w:rsidRPr="004A26A3" w:rsidRDefault="00111C8D" w:rsidP="00111C8D">
      <w:pPr>
        <w:spacing w:after="0" w:line="288" w:lineRule="auto"/>
        <w:jc w:val="both"/>
        <w:rPr>
          <w:rFonts w:cs="Times New Roman"/>
          <w:lang w:val="en-US"/>
        </w:rPr>
      </w:pPr>
    </w:p>
    <w:p w:rsidR="00111C8D" w:rsidRPr="004A26A3" w:rsidRDefault="00111C8D" w:rsidP="00111C8D">
      <w:pPr>
        <w:spacing w:after="0" w:line="288" w:lineRule="auto"/>
        <w:jc w:val="both"/>
        <w:rPr>
          <w:rFonts w:cs="Times New Roman"/>
          <w:lang w:val="en-US"/>
        </w:rPr>
      </w:pPr>
      <w:r w:rsidRPr="004A26A3">
        <w:rPr>
          <w:rFonts w:cs="Times New Roman"/>
          <w:lang w:val="en-US"/>
        </w:rPr>
        <w:t xml:space="preserve">The </w:t>
      </w:r>
      <w:r w:rsidRPr="004A26A3">
        <w:rPr>
          <w:rFonts w:eastAsia="SimSun" w:cs="Times New Roman"/>
          <w:lang w:val="en-US" w:eastAsia="zh-CN"/>
        </w:rPr>
        <w:t xml:space="preserve">LRCM </w:t>
      </w:r>
      <w:r w:rsidRPr="004A26A3">
        <w:rPr>
          <w:rFonts w:cs="Times New Roman"/>
          <w:lang w:val="en-US"/>
        </w:rPr>
        <w:t xml:space="preserve">was involved in improving the national mechanism of enforcement of judgments of the European Court of Human Rights (ECtHR). In this sense, the </w:t>
      </w:r>
      <w:r w:rsidRPr="004A26A3">
        <w:rPr>
          <w:rFonts w:eastAsia="SimSun" w:cs="Times New Roman"/>
          <w:lang w:val="en-US" w:eastAsia="zh-CN"/>
        </w:rPr>
        <w:t xml:space="preserve">LRCM </w:t>
      </w:r>
      <w:r w:rsidRPr="004A26A3">
        <w:rPr>
          <w:rFonts w:cs="Times New Roman"/>
          <w:lang w:val="en-US"/>
        </w:rPr>
        <w:t xml:space="preserve">contributed to developing a draft law on the government agent and a draft parliament decision on the parliamentary control of the enforcement of EctHR judgments. Also, the </w:t>
      </w:r>
      <w:r w:rsidRPr="004A26A3">
        <w:rPr>
          <w:rFonts w:eastAsia="SimSun" w:cs="Times New Roman"/>
          <w:lang w:val="en-US" w:eastAsia="zh-CN"/>
        </w:rPr>
        <w:t xml:space="preserve">LRCM </w:t>
      </w:r>
      <w:r w:rsidRPr="004A26A3">
        <w:rPr>
          <w:rFonts w:cs="Times New Roman"/>
          <w:lang w:val="en-US"/>
        </w:rPr>
        <w:t>continued training attorneys and prosecutors on the European Convention on Human Rights (ECHR) and developing analytical</w:t>
      </w:r>
      <w:r w:rsidR="006B62C3">
        <w:rPr>
          <w:rFonts w:cs="Times New Roman"/>
          <w:lang w:val="en-US"/>
        </w:rPr>
        <w:t xml:space="preserve"> materials about the ECtHR case </w:t>
      </w:r>
      <w:r w:rsidRPr="004A26A3">
        <w:rPr>
          <w:rFonts w:cs="Times New Roman"/>
          <w:lang w:val="en-US"/>
        </w:rPr>
        <w:t xml:space="preserve">law. The </w:t>
      </w:r>
      <w:r w:rsidRPr="004A26A3">
        <w:rPr>
          <w:rFonts w:eastAsia="SimSun" w:cs="Times New Roman"/>
          <w:lang w:val="en-US" w:eastAsia="zh-CN"/>
        </w:rPr>
        <w:t xml:space="preserve">LRCM </w:t>
      </w:r>
      <w:r w:rsidRPr="004A26A3">
        <w:rPr>
          <w:rFonts w:cs="Times New Roman"/>
          <w:lang w:val="en-US"/>
        </w:rPr>
        <w:t xml:space="preserve">also filed three complaints related to such systemic issues in Moldova as the non-uniform judicial practice and the low level of compensations granted by national courts for ECHR violations. </w:t>
      </w:r>
    </w:p>
    <w:p w:rsidR="00111C8D" w:rsidRPr="004A26A3" w:rsidRDefault="00111C8D" w:rsidP="00111C8D">
      <w:pPr>
        <w:spacing w:after="0" w:line="288" w:lineRule="auto"/>
        <w:jc w:val="both"/>
        <w:rPr>
          <w:rFonts w:cs="Times New Roman"/>
          <w:lang w:val="en-US"/>
        </w:rPr>
      </w:pPr>
    </w:p>
    <w:p w:rsidR="00D13EDB" w:rsidRPr="004A26A3" w:rsidRDefault="00111C8D" w:rsidP="00111C8D">
      <w:pPr>
        <w:spacing w:after="0" w:line="288" w:lineRule="auto"/>
        <w:jc w:val="both"/>
        <w:rPr>
          <w:rFonts w:cs="Times New Roman"/>
          <w:lang w:val="en-US"/>
        </w:rPr>
      </w:pPr>
      <w:r w:rsidRPr="004A26A3">
        <w:rPr>
          <w:rFonts w:cs="Times New Roman"/>
          <w:lang w:val="en-US"/>
        </w:rPr>
        <w:t xml:space="preserve">In 2013, the </w:t>
      </w:r>
      <w:r w:rsidRPr="004A26A3">
        <w:rPr>
          <w:rFonts w:eastAsia="SimSun" w:cs="Times New Roman"/>
          <w:lang w:val="en-US" w:eastAsia="zh-CN"/>
        </w:rPr>
        <w:t xml:space="preserve">LRCM </w:t>
      </w:r>
      <w:r w:rsidRPr="004A26A3">
        <w:rPr>
          <w:rFonts w:cs="Times New Roman"/>
          <w:lang w:val="en-US"/>
        </w:rPr>
        <w:t xml:space="preserve">also focused its efforts on improving the legislation on ensuring equality; strengthening prosecutor capacities of investigating cases of torture; unifying pretrial detention practices from the perspective of the best European standards; and amending the legislation on the </w:t>
      </w:r>
      <w:r w:rsidRPr="00D72B37">
        <w:rPr>
          <w:rFonts w:cs="Times New Roman"/>
          <w:color w:val="FF0000"/>
          <w:lang w:val="en-US"/>
        </w:rPr>
        <w:t>activities</w:t>
      </w:r>
      <w:r w:rsidRPr="004A26A3">
        <w:rPr>
          <w:rFonts w:cs="Times New Roman"/>
          <w:lang w:val="en-US"/>
        </w:rPr>
        <w:t xml:space="preserve"> and status of the ombudsman.</w:t>
      </w:r>
    </w:p>
    <w:p w:rsidR="00727D89" w:rsidRPr="00D2304A" w:rsidRDefault="00727D89" w:rsidP="001369A8">
      <w:pPr>
        <w:spacing w:after="0" w:line="288" w:lineRule="auto"/>
        <w:jc w:val="both"/>
        <w:rPr>
          <w:rFonts w:cs="Times New Roman"/>
          <w:lang w:val="ro-MO"/>
        </w:rPr>
      </w:pPr>
    </w:p>
    <w:p w:rsidR="008C154E" w:rsidRPr="00FE472C" w:rsidRDefault="008C154E" w:rsidP="008C154E">
      <w:pPr>
        <w:spacing w:after="0" w:line="288" w:lineRule="auto"/>
        <w:jc w:val="both"/>
        <w:rPr>
          <w:rFonts w:eastAsia="SimSun" w:cs="Times New Roman"/>
          <w:lang w:val="en-US" w:eastAsia="zh-CN"/>
        </w:rPr>
      </w:pPr>
      <w:r w:rsidRPr="00FE472C">
        <w:rPr>
          <w:rFonts w:eastAsia="SimSun" w:cs="Times New Roman"/>
          <w:lang w:val="en-US" w:eastAsia="zh-CN"/>
        </w:rPr>
        <w:t xml:space="preserve">Although many of the LRCM efforts were successful in 2013, a real challenge for the LRCM was the high number of activities to be carried out in 2014 and the limited possibilities of extending the LRCM team. </w:t>
      </w:r>
    </w:p>
    <w:p w:rsidR="008C154E" w:rsidRPr="00FE472C" w:rsidRDefault="008C154E" w:rsidP="008C154E">
      <w:pPr>
        <w:spacing w:after="0" w:line="288" w:lineRule="auto"/>
        <w:jc w:val="both"/>
        <w:rPr>
          <w:rFonts w:eastAsia="SimSun" w:cs="Times New Roman"/>
          <w:lang w:val="en-US" w:eastAsia="zh-CN"/>
        </w:rPr>
      </w:pPr>
    </w:p>
    <w:p w:rsidR="008C154E" w:rsidRPr="00FE472C" w:rsidRDefault="008C154E" w:rsidP="008C154E">
      <w:pPr>
        <w:spacing w:after="0" w:line="288" w:lineRule="auto"/>
        <w:jc w:val="both"/>
        <w:rPr>
          <w:rFonts w:eastAsia="SimSun" w:cs="Times New Roman"/>
          <w:lang w:val="en-US" w:eastAsia="zh-CN"/>
        </w:rPr>
      </w:pPr>
      <w:r w:rsidRPr="00FE472C">
        <w:rPr>
          <w:rFonts w:eastAsia="SimSun" w:cs="Times New Roman"/>
          <w:lang w:val="en-US" w:eastAsia="zh-CN"/>
        </w:rPr>
        <w:t xml:space="preserve">Using this occasion, on behalf of the LRCM team, I would to thank once again the LRCM partners and donors for their efforts in supporting our activities. Also, the LRCM team would like to thank its partners, supporters and friends for their cooperation. We are open to new cooperation opportunities in the future. </w:t>
      </w:r>
    </w:p>
    <w:p w:rsidR="008C154E" w:rsidRPr="00FE472C" w:rsidRDefault="008C154E" w:rsidP="008C154E">
      <w:pPr>
        <w:spacing w:after="0" w:line="288" w:lineRule="auto"/>
        <w:jc w:val="both"/>
        <w:rPr>
          <w:rFonts w:eastAsia="SimSun" w:cs="Times New Roman"/>
          <w:lang w:val="en-US" w:eastAsia="zh-CN"/>
        </w:rPr>
      </w:pPr>
    </w:p>
    <w:p w:rsidR="008C154E" w:rsidRPr="00FE472C" w:rsidRDefault="008C154E" w:rsidP="008C154E">
      <w:pPr>
        <w:spacing w:after="0" w:line="288" w:lineRule="auto"/>
        <w:jc w:val="both"/>
        <w:rPr>
          <w:rFonts w:eastAsia="SimSun" w:cs="Times New Roman"/>
          <w:lang w:val="en-US" w:eastAsia="zh-CN"/>
        </w:rPr>
      </w:pPr>
    </w:p>
    <w:p w:rsidR="008C154E" w:rsidRPr="00FE472C" w:rsidRDefault="008C154E" w:rsidP="008C154E">
      <w:pPr>
        <w:spacing w:after="0" w:line="288" w:lineRule="auto"/>
        <w:jc w:val="both"/>
        <w:rPr>
          <w:rFonts w:eastAsia="SimSun" w:cs="Times New Roman"/>
          <w:lang w:val="en-US" w:eastAsia="zh-CN"/>
        </w:rPr>
      </w:pPr>
      <w:r w:rsidRPr="00FE472C">
        <w:rPr>
          <w:rFonts w:eastAsia="SimSun" w:cs="Times New Roman"/>
          <w:lang w:val="en-US" w:eastAsia="zh-CN"/>
        </w:rPr>
        <w:t>Vladislav GRIBINCEA</w:t>
      </w:r>
    </w:p>
    <w:p w:rsidR="008C154E" w:rsidRPr="00FE472C" w:rsidRDefault="00304721" w:rsidP="008C154E">
      <w:pPr>
        <w:spacing w:after="0" w:line="288" w:lineRule="auto"/>
        <w:jc w:val="both"/>
        <w:rPr>
          <w:rFonts w:eastAsia="SimSun" w:cs="Times New Roman"/>
          <w:lang w:val="en-US" w:eastAsia="zh-CN"/>
        </w:rPr>
      </w:pPr>
      <w:r w:rsidRPr="00FE472C">
        <w:rPr>
          <w:rFonts w:eastAsia="SimSun" w:cs="Times New Roman"/>
          <w:lang w:val="en-US" w:eastAsia="zh-CN"/>
        </w:rPr>
        <w:t>Executive Director</w:t>
      </w:r>
      <w:r w:rsidR="008C154E" w:rsidRPr="00FE472C">
        <w:rPr>
          <w:rFonts w:eastAsia="SimSun" w:cs="Times New Roman"/>
          <w:lang w:val="en-US" w:eastAsia="zh-CN"/>
        </w:rPr>
        <w:t>,</w:t>
      </w:r>
    </w:p>
    <w:p w:rsidR="00727D89" w:rsidRPr="00FE472C" w:rsidRDefault="008C154E" w:rsidP="008C154E">
      <w:pPr>
        <w:spacing w:after="0" w:line="288" w:lineRule="auto"/>
        <w:jc w:val="both"/>
        <w:rPr>
          <w:rFonts w:eastAsia="SimSun" w:cs="Times New Roman"/>
          <w:lang w:val="en-US" w:eastAsia="zh-CN"/>
        </w:rPr>
      </w:pPr>
      <w:r w:rsidRPr="00FE472C">
        <w:rPr>
          <w:rFonts w:eastAsia="SimSun" w:cs="Times New Roman"/>
          <w:lang w:val="en-US" w:eastAsia="zh-CN"/>
        </w:rPr>
        <w:t>Legal Resource Center of Moldova</w:t>
      </w:r>
    </w:p>
    <w:p w:rsidR="00C453E7" w:rsidRPr="00AB77BB" w:rsidRDefault="00841EDF" w:rsidP="00C453E7">
      <w:pPr>
        <w:spacing w:after="0" w:line="288" w:lineRule="auto"/>
        <w:rPr>
          <w:rFonts w:cs="Times New Roman"/>
          <w:b/>
        </w:rPr>
      </w:pPr>
      <w:r w:rsidRPr="00D2304A">
        <w:rPr>
          <w:rFonts w:cs="Times New Roman"/>
          <w:lang w:val="ro-MO"/>
        </w:rPr>
        <w:br w:type="page"/>
      </w:r>
      <w:r w:rsidR="00C453E7">
        <w:rPr>
          <w:rFonts w:cs="Times New Roman"/>
          <w:b/>
        </w:rPr>
        <w:lastRenderedPageBreak/>
        <w:t>ENHANCING THE EFFICIENY, TRANSPARENCY, AND INDEPENDENCE OF THE JUDICIAL SYSTEM AND OF THE PROSECUTION</w:t>
      </w:r>
    </w:p>
    <w:p w:rsidR="00854C76" w:rsidRPr="00C453E7" w:rsidRDefault="00854C76" w:rsidP="00C453E7">
      <w:pPr>
        <w:spacing w:after="0" w:line="288" w:lineRule="auto"/>
        <w:rPr>
          <w:rFonts w:cs="Times New Roman"/>
        </w:rPr>
      </w:pPr>
    </w:p>
    <w:p w:rsidR="001C78A4" w:rsidRPr="001F724E" w:rsidRDefault="001C78A4" w:rsidP="001C78A4">
      <w:pPr>
        <w:spacing w:after="0" w:line="288" w:lineRule="auto"/>
        <w:jc w:val="both"/>
        <w:rPr>
          <w:rFonts w:cs="Times New Roman"/>
          <w:b/>
          <w:bCs/>
          <w:lang w:val="en-US"/>
        </w:rPr>
      </w:pPr>
      <w:commentRangeStart w:id="2"/>
      <w:r w:rsidRPr="001F724E">
        <w:rPr>
          <w:rFonts w:cs="Times New Roman"/>
          <w:b/>
          <w:bCs/>
          <w:lang w:val="en-US"/>
        </w:rPr>
        <w:t>i. Enhancing Court Efficiency</w:t>
      </w:r>
      <w:commentRangeEnd w:id="2"/>
      <w:r w:rsidR="00C42EC3">
        <w:rPr>
          <w:rStyle w:val="CommentReference"/>
        </w:rPr>
        <w:commentReference w:id="2"/>
      </w:r>
    </w:p>
    <w:p w:rsidR="001C78A4" w:rsidRPr="001F724E" w:rsidRDefault="001C78A4" w:rsidP="001C78A4">
      <w:pPr>
        <w:pStyle w:val="ListParagraph"/>
        <w:spacing w:after="0" w:line="288" w:lineRule="auto"/>
        <w:ind w:left="0"/>
        <w:jc w:val="both"/>
        <w:rPr>
          <w:rFonts w:cs="Times New Roman"/>
          <w:lang w:val="en-US"/>
        </w:rPr>
      </w:pPr>
    </w:p>
    <w:p w:rsidR="00971E3F" w:rsidRPr="001F724E" w:rsidRDefault="001C78A4" w:rsidP="001C78A4">
      <w:pPr>
        <w:pStyle w:val="ListParagraph"/>
        <w:spacing w:after="0" w:line="288" w:lineRule="auto"/>
        <w:ind w:left="0"/>
        <w:jc w:val="both"/>
        <w:rPr>
          <w:rFonts w:cs="Times New Roman"/>
          <w:lang w:val="en-US"/>
        </w:rPr>
      </w:pPr>
      <w:r w:rsidRPr="001F724E">
        <w:rPr>
          <w:rFonts w:cs="Times New Roman"/>
          <w:lang w:val="en-US"/>
        </w:rPr>
        <w:t xml:space="preserve">In view of enhancing the efficiency of courts, at the request of the Ministry of Justice (MoJ), the </w:t>
      </w:r>
      <w:r w:rsidRPr="001F724E">
        <w:rPr>
          <w:rFonts w:eastAsia="SimSun" w:cs="Times New Roman"/>
          <w:lang w:val="en-US" w:eastAsia="zh-CN"/>
        </w:rPr>
        <w:t xml:space="preserve">LRCM developed two studies: a </w:t>
      </w:r>
      <w:hyperlink r:id="rId10" w:history="1">
        <w:r w:rsidRPr="007A4BE7">
          <w:rPr>
            <w:rStyle w:val="Hyperlink"/>
            <w:rFonts w:eastAsia="SimSun" w:cs="Times New Roman"/>
            <w:i/>
            <w:lang w:val="en-US" w:eastAsia="zh-CN"/>
          </w:rPr>
          <w:t xml:space="preserve">Study on </w:t>
        </w:r>
        <w:r w:rsidR="00CD115D" w:rsidRPr="007A4BE7">
          <w:rPr>
            <w:rStyle w:val="Hyperlink"/>
            <w:rFonts w:eastAsia="SimSun" w:cs="Times New Roman"/>
            <w:i/>
            <w:lang w:val="en-US" w:eastAsia="zh-CN"/>
          </w:rPr>
          <w:t>optimization of the judicial map</w:t>
        </w:r>
        <w:r w:rsidR="00CD115D" w:rsidRPr="007A4BE7">
          <w:rPr>
            <w:rStyle w:val="Hyperlink"/>
            <w:rFonts w:eastAsia="SimSun" w:cs="Times New Roman"/>
            <w:lang w:val="en-US" w:eastAsia="zh-CN"/>
          </w:rPr>
          <w:t xml:space="preserve"> </w:t>
        </w:r>
        <w:r w:rsidR="00CD115D" w:rsidRPr="007A4BE7">
          <w:rPr>
            <w:rStyle w:val="Hyperlink"/>
            <w:rFonts w:eastAsia="SimSun" w:cs="Times New Roman"/>
            <w:i/>
            <w:lang w:val="en-US" w:eastAsia="zh-CN"/>
          </w:rPr>
          <w:t xml:space="preserve">in the Republic </w:t>
        </w:r>
        <w:r w:rsidRPr="007A4BE7">
          <w:rPr>
            <w:rStyle w:val="Hyperlink"/>
            <w:rFonts w:eastAsia="SimSun" w:cs="Times New Roman"/>
            <w:i/>
            <w:lang w:val="en-US" w:eastAsia="zh-CN"/>
          </w:rPr>
          <w:t>of Moldova</w:t>
        </w:r>
      </w:hyperlink>
      <w:r w:rsidRPr="001F724E">
        <w:rPr>
          <w:rFonts w:eastAsia="SimSun" w:cs="Times New Roman"/>
          <w:i/>
          <w:lang w:val="en-US" w:eastAsia="zh-CN"/>
        </w:rPr>
        <w:t xml:space="preserve"> </w:t>
      </w:r>
      <w:r w:rsidRPr="001F724E">
        <w:rPr>
          <w:rFonts w:cs="Times New Roman"/>
          <w:lang w:val="en-US"/>
        </w:rPr>
        <w:t xml:space="preserve">and the </w:t>
      </w:r>
      <w:hyperlink r:id="rId11" w:history="1">
        <w:r w:rsidRPr="00FE516B">
          <w:rPr>
            <w:rStyle w:val="Hyperlink"/>
            <w:rFonts w:cs="Times New Roman"/>
            <w:bCs/>
            <w:i/>
            <w:lang w:val="en-US"/>
          </w:rPr>
          <w:t xml:space="preserve">Study on Specialization of Judges and </w:t>
        </w:r>
        <w:r w:rsidR="00F5576F" w:rsidRPr="00FE516B">
          <w:rPr>
            <w:rStyle w:val="Hyperlink"/>
            <w:rFonts w:eastAsia="SimSun" w:cs="Times New Roman"/>
            <w:i/>
            <w:lang w:val="en-US" w:eastAsia="zh-CN"/>
          </w:rPr>
          <w:t>feasibility of creating administrative courts system</w:t>
        </w:r>
        <w:r w:rsidRPr="00FE516B">
          <w:rPr>
            <w:rStyle w:val="Hyperlink"/>
            <w:rFonts w:cs="Times New Roman"/>
            <w:bCs/>
            <w:i/>
            <w:lang w:val="en-US"/>
          </w:rPr>
          <w:t xml:space="preserve"> in </w:t>
        </w:r>
        <w:r w:rsidRPr="00FE516B">
          <w:rPr>
            <w:rStyle w:val="Hyperlink"/>
            <w:rFonts w:cs="Times New Roman"/>
            <w:i/>
            <w:lang w:val="en-US"/>
          </w:rPr>
          <w:t>Moldova</w:t>
        </w:r>
      </w:hyperlink>
      <w:r w:rsidRPr="001F724E">
        <w:rPr>
          <w:rFonts w:cs="Times New Roman"/>
          <w:lang w:val="en-US"/>
        </w:rPr>
        <w:t>. These are the main such reviews ever conducted in Moldova. They should underlie the state policies on reforming the organization of the judicial system and on specialization of judges. The studies consist in the following:</w:t>
      </w:r>
    </w:p>
    <w:p w:rsidR="00D40EF4" w:rsidRPr="00D2304A" w:rsidRDefault="00D40EF4" w:rsidP="001369A8">
      <w:pPr>
        <w:pStyle w:val="ListParagraph"/>
        <w:spacing w:after="0" w:line="288" w:lineRule="auto"/>
        <w:ind w:left="0"/>
        <w:jc w:val="both"/>
        <w:rPr>
          <w:rFonts w:cs="Times New Roman"/>
          <w:lang w:val="ro-MO"/>
        </w:rPr>
      </w:pPr>
    </w:p>
    <w:p w:rsidR="008B7612" w:rsidRPr="00F156CB" w:rsidRDefault="00297AED" w:rsidP="001369A8">
      <w:pPr>
        <w:pStyle w:val="ListParagraph"/>
        <w:spacing w:after="0" w:line="288" w:lineRule="auto"/>
        <w:ind w:left="0"/>
        <w:jc w:val="both"/>
        <w:rPr>
          <w:rFonts w:cs="Times New Roman"/>
          <w:lang w:val="en-US"/>
        </w:rPr>
      </w:pPr>
      <w:r w:rsidRPr="00F156CB">
        <w:rPr>
          <w:rFonts w:cs="Times New Roman"/>
          <w:i/>
          <w:lang w:val="en-US"/>
        </w:rPr>
        <w:t xml:space="preserve">a. Study on </w:t>
      </w:r>
      <w:r w:rsidR="00032F5E" w:rsidRPr="00CD115D">
        <w:rPr>
          <w:rFonts w:eastAsia="SimSun" w:cs="Times New Roman"/>
          <w:i/>
          <w:lang w:val="en-US" w:eastAsia="zh-CN"/>
        </w:rPr>
        <w:t>optimization of the judicial map</w:t>
      </w:r>
      <w:r w:rsidR="00032F5E" w:rsidRPr="004A26A3">
        <w:rPr>
          <w:rFonts w:eastAsia="SimSun" w:cs="Times New Roman"/>
          <w:lang w:val="en-US" w:eastAsia="zh-CN"/>
        </w:rPr>
        <w:t xml:space="preserve"> </w:t>
      </w:r>
      <w:r w:rsidR="00032F5E">
        <w:rPr>
          <w:rFonts w:eastAsia="SimSun" w:cs="Times New Roman"/>
          <w:i/>
          <w:lang w:val="en-US" w:eastAsia="zh-CN"/>
        </w:rPr>
        <w:t xml:space="preserve">in the Republic </w:t>
      </w:r>
      <w:r w:rsidR="00032F5E" w:rsidRPr="001F724E">
        <w:rPr>
          <w:rFonts w:eastAsia="SimSun" w:cs="Times New Roman"/>
          <w:i/>
          <w:lang w:val="en-US" w:eastAsia="zh-CN"/>
        </w:rPr>
        <w:t>of Moldova</w:t>
      </w:r>
      <w:r w:rsidRPr="00F156CB">
        <w:rPr>
          <w:rFonts w:cs="Times New Roman"/>
          <w:lang w:val="en-US"/>
        </w:rPr>
        <w:t xml:space="preserve">: </w:t>
      </w:r>
      <w:r w:rsidR="00C24B51">
        <w:rPr>
          <w:rFonts w:cs="Times New Roman"/>
          <w:lang w:val="en-US"/>
        </w:rPr>
        <w:t xml:space="preserve">optimizing </w:t>
      </w:r>
      <w:commentRangeStart w:id="3"/>
      <w:r w:rsidRPr="00C24B51">
        <w:rPr>
          <w:rFonts w:cs="Times New Roman"/>
          <w:color w:val="FF0000"/>
          <w:lang w:val="en-US"/>
        </w:rPr>
        <w:t>streamlining</w:t>
      </w:r>
      <w:commentRangeEnd w:id="3"/>
      <w:r w:rsidR="00AE782A">
        <w:rPr>
          <w:rStyle w:val="CommentReference"/>
        </w:rPr>
        <w:commentReference w:id="3"/>
      </w:r>
      <w:r w:rsidRPr="00F156CB">
        <w:rPr>
          <w:rFonts w:cs="Times New Roman"/>
          <w:lang w:val="en-US"/>
        </w:rPr>
        <w:t xml:space="preserve"> the court map aims at enhancing the quality of the act of justice and the administrative and financial efficiency of courts. This paper is prescribed in the JSRS (intervention area 1.1.1). The study recommends </w:t>
      </w:r>
      <w:r w:rsidR="00C24B51">
        <w:rPr>
          <w:rFonts w:cs="Times New Roman"/>
          <w:lang w:val="en-US"/>
        </w:rPr>
        <w:t>optimizing</w:t>
      </w:r>
      <w:r w:rsidRPr="00F156CB">
        <w:rPr>
          <w:rFonts w:cs="Times New Roman"/>
          <w:lang w:val="en-US"/>
        </w:rPr>
        <w:t xml:space="preserve"> the number of judges and administrative staff in courts of appeal and </w:t>
      </w:r>
      <w:commentRangeStart w:id="4"/>
      <w:r w:rsidRPr="000F1E48">
        <w:rPr>
          <w:rFonts w:cs="Times New Roman"/>
          <w:color w:val="FF0000"/>
          <w:lang w:val="en-US"/>
        </w:rPr>
        <w:t>district</w:t>
      </w:r>
      <w:commentRangeEnd w:id="4"/>
      <w:r w:rsidR="000F1E48">
        <w:rPr>
          <w:rStyle w:val="CommentReference"/>
        </w:rPr>
        <w:commentReference w:id="4"/>
      </w:r>
      <w:r w:rsidRPr="00F156CB">
        <w:rPr>
          <w:rFonts w:cs="Times New Roman"/>
          <w:lang w:val="en-US"/>
        </w:rPr>
        <w:t xml:space="preserve"> courts, and eliminating district courts with a low number of judges by merging them with other </w:t>
      </w:r>
      <w:r w:rsidRPr="000F1E48">
        <w:rPr>
          <w:rFonts w:cs="Times New Roman"/>
          <w:color w:val="FF0000"/>
          <w:lang w:val="en-US"/>
        </w:rPr>
        <w:t>district</w:t>
      </w:r>
      <w:r w:rsidRPr="00F156CB">
        <w:rPr>
          <w:rFonts w:cs="Times New Roman"/>
          <w:lang w:val="en-US"/>
        </w:rPr>
        <w:t xml:space="preserve"> courts. The study focuses on the reallocation of judicial </w:t>
      </w:r>
      <w:r w:rsidR="00DB341D">
        <w:rPr>
          <w:rFonts w:cs="Times New Roman"/>
          <w:lang w:val="en-US"/>
        </w:rPr>
        <w:t>positions</w:t>
      </w:r>
      <w:r w:rsidR="008A389D">
        <w:rPr>
          <w:rFonts w:cs="Times New Roman"/>
          <w:lang w:val="en-US"/>
        </w:rPr>
        <w:t>/</w:t>
      </w:r>
      <w:r w:rsidRPr="00DB341D">
        <w:rPr>
          <w:rFonts w:cs="Times New Roman"/>
          <w:color w:val="FF0000"/>
          <w:lang w:val="en-US"/>
        </w:rPr>
        <w:t>offices</w:t>
      </w:r>
      <w:r w:rsidRPr="00F156CB">
        <w:rPr>
          <w:rFonts w:cs="Times New Roman"/>
          <w:lang w:val="en-US"/>
        </w:rPr>
        <w:t xml:space="preserve"> so that to ensure a comparable workload for all Moldovan judges. </w:t>
      </w:r>
      <w:r w:rsidRPr="00F156CB">
        <w:rPr>
          <w:rStyle w:val="hps"/>
          <w:rFonts w:cs="Times New Roman"/>
          <w:lang w:val="en-US"/>
        </w:rPr>
        <w:t xml:space="preserve">The recommendations of the study are mainly based on socio-demographic data and the type of cases examined by district and appellate courts in the period from </w:t>
      </w:r>
      <w:r w:rsidRPr="00F156CB">
        <w:rPr>
          <w:rFonts w:cs="Times New Roman"/>
          <w:lang w:val="en-US"/>
        </w:rPr>
        <w:t>2010 to 2012.</w:t>
      </w:r>
      <w:r w:rsidR="00461FE0">
        <w:rPr>
          <w:rFonts w:cs="Times New Roman"/>
          <w:lang w:val="en-US"/>
        </w:rPr>
        <w:t xml:space="preserve"> </w:t>
      </w:r>
      <w:r w:rsidRPr="00F156CB">
        <w:rPr>
          <w:rFonts w:cs="Times New Roman"/>
          <w:lang w:val="en-US"/>
        </w:rPr>
        <w:t xml:space="preserve">As to the merging of </w:t>
      </w:r>
      <w:r w:rsidRPr="00461FE0">
        <w:rPr>
          <w:rFonts w:cs="Times New Roman"/>
          <w:color w:val="FF0000"/>
          <w:lang w:val="en-US"/>
        </w:rPr>
        <w:t>district</w:t>
      </w:r>
      <w:r w:rsidRPr="00F156CB">
        <w:rPr>
          <w:rFonts w:cs="Times New Roman"/>
          <w:lang w:val="en-US"/>
        </w:rPr>
        <w:t xml:space="preserve"> courts, the study comes up with three scenarios, depending on the minimum number of </w:t>
      </w:r>
      <w:commentRangeStart w:id="5"/>
      <w:r w:rsidRPr="00F156CB">
        <w:rPr>
          <w:rFonts w:cs="Times New Roman"/>
          <w:lang w:val="en-US"/>
        </w:rPr>
        <w:t xml:space="preserve">judgers per court: 5, 7 or 9 judges. The study was conducted with the involvement of the MoJ and the SCM and addresses first </w:t>
      </w:r>
      <w:commentRangeEnd w:id="5"/>
      <w:r w:rsidR="007A4BE7">
        <w:rPr>
          <w:rStyle w:val="CommentReference"/>
        </w:rPr>
        <w:commentReference w:id="5"/>
      </w:r>
      <w:r w:rsidRPr="00F156CB">
        <w:rPr>
          <w:rFonts w:cs="Times New Roman"/>
          <w:lang w:val="en-US"/>
        </w:rPr>
        <w:t xml:space="preserve">of all the decision makers (Parliament, Government and SCM) in view of making a decision on the </w:t>
      </w:r>
      <w:r w:rsidR="00461FE0">
        <w:rPr>
          <w:rFonts w:cs="Times New Roman"/>
          <w:lang w:val="en-US"/>
        </w:rPr>
        <w:t>opportunity of optimization/</w:t>
      </w:r>
      <w:r w:rsidRPr="00461FE0">
        <w:rPr>
          <w:rFonts w:cs="Times New Roman"/>
          <w:color w:val="FF0000"/>
          <w:lang w:val="en-US"/>
        </w:rPr>
        <w:t>timeliness of streamlining</w:t>
      </w:r>
      <w:r w:rsidRPr="00F156CB">
        <w:rPr>
          <w:rFonts w:cs="Times New Roman"/>
          <w:lang w:val="en-US"/>
        </w:rPr>
        <w:t xml:space="preserve"> the court map. The recommendations for the allocation of judges and court staff refer first of all to the SCM and MoJ. They can be used for allocating </w:t>
      </w:r>
      <w:r w:rsidR="00992B3E">
        <w:rPr>
          <w:rFonts w:cs="Times New Roman"/>
          <w:lang w:val="en-US"/>
        </w:rPr>
        <w:t>positions/</w:t>
      </w:r>
      <w:r w:rsidRPr="00992B3E">
        <w:rPr>
          <w:rFonts w:cs="Times New Roman"/>
          <w:color w:val="FF0000"/>
          <w:lang w:val="en-US"/>
        </w:rPr>
        <w:t>offices</w:t>
      </w:r>
      <w:r w:rsidRPr="00F156CB">
        <w:rPr>
          <w:rFonts w:cs="Times New Roman"/>
          <w:lang w:val="en-US"/>
        </w:rPr>
        <w:t xml:space="preserve"> among courts and planning the necessary costs for the judicial system. The study was launched in 2014.</w:t>
      </w:r>
    </w:p>
    <w:p w:rsidR="008B7612" w:rsidRPr="00D2304A" w:rsidRDefault="008B7612" w:rsidP="001369A8">
      <w:pPr>
        <w:pStyle w:val="ListParagraph"/>
        <w:spacing w:after="0" w:line="288" w:lineRule="auto"/>
        <w:ind w:left="0"/>
        <w:jc w:val="both"/>
        <w:rPr>
          <w:rFonts w:cs="Times New Roman"/>
          <w:bCs/>
          <w:lang w:val="ro-MO"/>
        </w:rPr>
      </w:pPr>
    </w:p>
    <w:p w:rsidR="002766CC" w:rsidRPr="00434331" w:rsidRDefault="005E7D27" w:rsidP="001369A8">
      <w:pPr>
        <w:pStyle w:val="ListParagraph"/>
        <w:spacing w:after="0" w:line="288" w:lineRule="auto"/>
        <w:ind w:left="0"/>
        <w:jc w:val="both"/>
        <w:rPr>
          <w:rFonts w:cs="Times New Roman"/>
          <w:lang w:val="en-US"/>
        </w:rPr>
      </w:pPr>
      <w:r w:rsidRPr="00434331">
        <w:rPr>
          <w:rFonts w:cs="Times New Roman"/>
          <w:bCs/>
          <w:i/>
          <w:lang w:val="en-US"/>
        </w:rPr>
        <w:t xml:space="preserve">b. Study on the Specialization of Judges and </w:t>
      </w:r>
      <w:r w:rsidR="0060664F" w:rsidRPr="00F5576F">
        <w:rPr>
          <w:rFonts w:eastAsia="SimSun" w:cs="Times New Roman"/>
          <w:i/>
          <w:lang w:val="en-US" w:eastAsia="zh-CN"/>
        </w:rPr>
        <w:t>feasibility of creating administrative courts system</w:t>
      </w:r>
      <w:r w:rsidR="0060664F" w:rsidRPr="001F724E">
        <w:rPr>
          <w:rFonts w:cs="Times New Roman"/>
          <w:bCs/>
          <w:i/>
          <w:lang w:val="en-US"/>
        </w:rPr>
        <w:t xml:space="preserve"> in </w:t>
      </w:r>
      <w:r w:rsidR="0060664F" w:rsidRPr="001F724E">
        <w:rPr>
          <w:rFonts w:cs="Times New Roman"/>
          <w:i/>
          <w:lang w:val="en-US"/>
        </w:rPr>
        <w:t>Moldova</w:t>
      </w:r>
      <w:r w:rsidRPr="00434331">
        <w:rPr>
          <w:rFonts w:cs="Times New Roman"/>
          <w:lang w:val="en-US"/>
        </w:rPr>
        <w:t xml:space="preserve">: The specialization of courts is usually regarded as a </w:t>
      </w:r>
      <w:r w:rsidRPr="003D3605">
        <w:rPr>
          <w:rFonts w:cs="Times New Roman"/>
          <w:color w:val="FF0000"/>
          <w:lang w:val="en-US"/>
        </w:rPr>
        <w:t>means</w:t>
      </w:r>
      <w:r w:rsidRPr="00434331">
        <w:rPr>
          <w:rFonts w:cs="Times New Roman"/>
          <w:lang w:val="en-US"/>
        </w:rPr>
        <w:t xml:space="preserve"> to enhance the quality of the act of justice. This study is prescribed by the JSRS</w:t>
      </w:r>
      <w:r w:rsidR="00612114">
        <w:rPr>
          <w:rFonts w:cs="Times New Roman"/>
          <w:lang w:val="en-US"/>
        </w:rPr>
        <w:t xml:space="preserve"> </w:t>
      </w:r>
      <w:r w:rsidRPr="00434331">
        <w:rPr>
          <w:rFonts w:cs="Times New Roman"/>
          <w:lang w:val="en-US"/>
        </w:rPr>
        <w:t xml:space="preserve">(intervention area 1.3.3). The study presents a short description of the best international practices and recommendations based on research on the specialization of judges. It presents the legal context and reviews the legal framework and judge specialization practices in Moldova. For this study, there was reviewed the work amount </w:t>
      </w:r>
      <w:r w:rsidR="003D3605">
        <w:rPr>
          <w:rFonts w:cs="Times New Roman"/>
          <w:lang w:val="en-US"/>
        </w:rPr>
        <w:t>during/</w:t>
      </w:r>
      <w:r w:rsidRPr="003D3605">
        <w:rPr>
          <w:rFonts w:cs="Times New Roman"/>
          <w:color w:val="FF0000"/>
          <w:lang w:val="en-US"/>
        </w:rPr>
        <w:t>of</w:t>
      </w:r>
      <w:r w:rsidRPr="00434331">
        <w:rPr>
          <w:rFonts w:cs="Times New Roman"/>
          <w:lang w:val="en-US"/>
        </w:rPr>
        <w:t xml:space="preserve"> 2010-2012 of the country’s two specialized courts (economic and military), of investigative judges, and the work amount</w:t>
      </w:r>
      <w:r w:rsidR="00B9223E">
        <w:rPr>
          <w:rFonts w:cs="Times New Roman"/>
          <w:lang w:val="en-US"/>
        </w:rPr>
        <w:t xml:space="preserve"> done/</w:t>
      </w:r>
      <w:r w:rsidRPr="00B9223E">
        <w:rPr>
          <w:rFonts w:cs="Times New Roman"/>
          <w:color w:val="FF0000"/>
          <w:lang w:val="en-US"/>
        </w:rPr>
        <w:t>required</w:t>
      </w:r>
      <w:r w:rsidRPr="00434331">
        <w:rPr>
          <w:rFonts w:cs="Times New Roman"/>
          <w:lang w:val="en-US"/>
        </w:rPr>
        <w:t xml:space="preserve"> to examine administrative </w:t>
      </w:r>
      <w:r w:rsidRPr="003D3605">
        <w:rPr>
          <w:rFonts w:cs="Times New Roman"/>
          <w:color w:val="FF0000"/>
          <w:lang w:val="en-US"/>
        </w:rPr>
        <w:t>review</w:t>
      </w:r>
      <w:r w:rsidRPr="00434331">
        <w:rPr>
          <w:rFonts w:cs="Times New Roman"/>
          <w:lang w:val="en-US"/>
        </w:rPr>
        <w:t xml:space="preserve"> cases. The study presents the results of a survey on the specialization of judges, conducted among Moldovan courts of all levels. At the end, the study examines the </w:t>
      </w:r>
      <w:r w:rsidR="00393F69">
        <w:rPr>
          <w:rFonts w:cs="Times New Roman"/>
          <w:lang w:val="en-US"/>
        </w:rPr>
        <w:t>opportunity/</w:t>
      </w:r>
      <w:r w:rsidRPr="00393F69">
        <w:rPr>
          <w:rFonts w:cs="Times New Roman"/>
          <w:color w:val="FF0000"/>
          <w:lang w:val="en-US"/>
        </w:rPr>
        <w:t>timeliness</w:t>
      </w:r>
      <w:r w:rsidRPr="00434331">
        <w:rPr>
          <w:rFonts w:cs="Times New Roman"/>
          <w:lang w:val="en-US"/>
        </w:rPr>
        <w:t xml:space="preserve"> of creating administrative review courts in Moldova. The </w:t>
      </w:r>
      <w:commentRangeStart w:id="6"/>
      <w:r w:rsidRPr="00434331">
        <w:rPr>
          <w:rFonts w:cs="Times New Roman"/>
          <w:lang w:val="en-US"/>
        </w:rPr>
        <w:t xml:space="preserve">study’s conclusions and recommendations refer to </w:t>
      </w:r>
      <w:commentRangeEnd w:id="6"/>
      <w:r w:rsidR="00FE516B">
        <w:rPr>
          <w:rStyle w:val="CommentReference"/>
        </w:rPr>
        <w:commentReference w:id="6"/>
      </w:r>
      <w:r w:rsidRPr="00434331">
        <w:rPr>
          <w:rFonts w:cs="Times New Roman"/>
          <w:lang w:val="en-US"/>
        </w:rPr>
        <w:t xml:space="preserve">the judge specialization options, additional ways of improving court performance and reducing judge workload, and the timeliness of implementing judge specialization in the administrative </w:t>
      </w:r>
      <w:r w:rsidRPr="00393F69">
        <w:rPr>
          <w:rFonts w:cs="Times New Roman"/>
          <w:color w:val="FF0000"/>
          <w:lang w:val="en-US"/>
        </w:rPr>
        <w:t>review</w:t>
      </w:r>
      <w:r w:rsidRPr="00434331">
        <w:rPr>
          <w:rFonts w:cs="Times New Roman"/>
          <w:lang w:val="en-US"/>
        </w:rPr>
        <w:t xml:space="preserve"> area. The study’s recommendations are mainly addressed to the SCM, the Government and the Parliament, for making decisions both on the manner of specialization of judges in courts and on the </w:t>
      </w:r>
      <w:r w:rsidR="00F20A76">
        <w:rPr>
          <w:rFonts w:cs="Times New Roman"/>
          <w:lang w:val="en-US"/>
        </w:rPr>
        <w:t>opportunity</w:t>
      </w:r>
      <w:r w:rsidR="00F20A76" w:rsidRPr="00434331">
        <w:rPr>
          <w:rFonts w:cs="Times New Roman"/>
          <w:lang w:val="en-US"/>
        </w:rPr>
        <w:t xml:space="preserve"> </w:t>
      </w:r>
      <w:r w:rsidR="00F20A76">
        <w:rPr>
          <w:rFonts w:cs="Times New Roman"/>
          <w:lang w:val="en-US"/>
        </w:rPr>
        <w:t>/</w:t>
      </w:r>
      <w:r w:rsidRPr="00F20A76">
        <w:rPr>
          <w:rFonts w:cs="Times New Roman"/>
          <w:color w:val="FF0000"/>
          <w:lang w:val="en-US"/>
        </w:rPr>
        <w:t>timeliness</w:t>
      </w:r>
      <w:r w:rsidRPr="00434331">
        <w:rPr>
          <w:rFonts w:cs="Times New Roman"/>
          <w:lang w:val="en-US"/>
        </w:rPr>
        <w:t xml:space="preserve"> of creating administrative </w:t>
      </w:r>
      <w:r w:rsidRPr="00F20A76">
        <w:rPr>
          <w:rFonts w:cs="Times New Roman"/>
          <w:color w:val="FF0000"/>
          <w:lang w:val="en-US"/>
        </w:rPr>
        <w:t>review</w:t>
      </w:r>
      <w:r w:rsidRPr="00434331">
        <w:rPr>
          <w:rFonts w:cs="Times New Roman"/>
          <w:lang w:val="en-US"/>
        </w:rPr>
        <w:t xml:space="preserve"> courts. The study was launched in 2014.</w:t>
      </w:r>
    </w:p>
    <w:p w:rsidR="00D40EF4" w:rsidRPr="00D2304A" w:rsidRDefault="00D40EF4" w:rsidP="001369A8">
      <w:pPr>
        <w:pStyle w:val="ListParagraph"/>
        <w:spacing w:after="0" w:line="288" w:lineRule="auto"/>
        <w:ind w:left="0"/>
        <w:jc w:val="both"/>
        <w:rPr>
          <w:rFonts w:cs="Times New Roman"/>
          <w:lang w:val="ro-MO"/>
        </w:rPr>
      </w:pPr>
    </w:p>
    <w:p w:rsidR="00A80A85" w:rsidRPr="00730BCB" w:rsidRDefault="00A80A85" w:rsidP="00A80A85">
      <w:pPr>
        <w:pStyle w:val="ListParagraph"/>
        <w:spacing w:after="0" w:line="288" w:lineRule="auto"/>
        <w:ind w:left="0"/>
        <w:jc w:val="both"/>
        <w:rPr>
          <w:rFonts w:cs="Times New Roman"/>
          <w:b/>
          <w:lang w:val="en-US"/>
        </w:rPr>
      </w:pPr>
      <w:r w:rsidRPr="00730BCB">
        <w:rPr>
          <w:rFonts w:cs="Times New Roman"/>
          <w:b/>
          <w:lang w:val="en-US"/>
        </w:rPr>
        <w:t>ii. Enhancing the Efficiency and Transparency of the SCM</w:t>
      </w:r>
    </w:p>
    <w:p w:rsidR="002766CC" w:rsidRPr="00730BCB" w:rsidRDefault="002766CC" w:rsidP="001369A8">
      <w:pPr>
        <w:pStyle w:val="ListParagraph"/>
        <w:spacing w:after="0" w:line="288" w:lineRule="auto"/>
        <w:ind w:left="0"/>
        <w:jc w:val="both"/>
        <w:rPr>
          <w:rFonts w:cs="Times New Roman"/>
          <w:lang w:val="en-US"/>
        </w:rPr>
      </w:pPr>
    </w:p>
    <w:p w:rsidR="002766CC" w:rsidRDefault="00514216" w:rsidP="001369A8">
      <w:pPr>
        <w:pStyle w:val="ListParagraph"/>
        <w:spacing w:after="0" w:line="288" w:lineRule="auto"/>
        <w:ind w:left="0"/>
        <w:jc w:val="both"/>
        <w:rPr>
          <w:rFonts w:cs="Times New Roman"/>
          <w:lang w:val="en-US"/>
        </w:rPr>
      </w:pPr>
      <w:r w:rsidRPr="00730BCB">
        <w:rPr>
          <w:rFonts w:cs="Times New Roman"/>
          <w:lang w:val="en-US"/>
        </w:rPr>
        <w:lastRenderedPageBreak/>
        <w:t>Starting with 2011, the LRCM has been monitoring most of the SCM meetings and closely studied its decisions. In 2013, the LRCM</w:t>
      </w:r>
      <w:r w:rsidR="008975F4">
        <w:rPr>
          <w:rFonts w:cs="Times New Roman"/>
          <w:lang w:val="en-US"/>
        </w:rPr>
        <w:t xml:space="preserve"> </w:t>
      </w:r>
      <w:r w:rsidRPr="00730BCB">
        <w:rPr>
          <w:rFonts w:cs="Times New Roman"/>
          <w:lang w:val="en-US"/>
        </w:rPr>
        <w:t>monitored 26 of the 37 SCM meetings. The LRCM</w:t>
      </w:r>
      <w:r w:rsidR="008975F4">
        <w:rPr>
          <w:rFonts w:cs="Times New Roman"/>
          <w:lang w:val="en-US"/>
        </w:rPr>
        <w:t xml:space="preserve"> </w:t>
      </w:r>
      <w:r w:rsidRPr="00730BCB">
        <w:rPr>
          <w:rFonts w:cs="Times New Roman"/>
          <w:lang w:val="en-US"/>
        </w:rPr>
        <w:t>will continue monitoring the SCM meetings in 2014</w:t>
      </w:r>
      <w:r w:rsidRPr="00730BCB" w:rsidDel="004862E2">
        <w:rPr>
          <w:rFonts w:cs="Times New Roman"/>
          <w:lang w:val="en-US"/>
        </w:rPr>
        <w:t xml:space="preserve">. </w:t>
      </w:r>
      <w:r w:rsidRPr="00730BCB">
        <w:rPr>
          <w:rFonts w:cs="Times New Roman"/>
          <w:lang w:val="en-US"/>
        </w:rPr>
        <w:t>Monitoring the SCM meetings enables the LRCM</w:t>
      </w:r>
      <w:r w:rsidR="008975F4">
        <w:rPr>
          <w:rFonts w:cs="Times New Roman"/>
          <w:lang w:val="en-US"/>
        </w:rPr>
        <w:t xml:space="preserve"> </w:t>
      </w:r>
      <w:r w:rsidRPr="00730BCB">
        <w:rPr>
          <w:rFonts w:cs="Times New Roman"/>
          <w:lang w:val="en-US"/>
        </w:rPr>
        <w:t>to know the SCM activities in detail, be up-to-date with the most important issues tackled thereby, and be able to inform the public, formulate recommendations and plan activities to enhance the efficiency of the judicial system and of the SCM.</w:t>
      </w:r>
      <w:r w:rsidR="002766CC" w:rsidRPr="00730BCB" w:rsidDel="004862E2">
        <w:rPr>
          <w:rFonts w:cs="Times New Roman"/>
          <w:lang w:val="en-US"/>
        </w:rPr>
        <w:t xml:space="preserve"> </w:t>
      </w:r>
    </w:p>
    <w:p w:rsidR="00E72011" w:rsidRDefault="00E72011" w:rsidP="001369A8">
      <w:pPr>
        <w:pStyle w:val="ListParagraph"/>
        <w:spacing w:after="0" w:line="288" w:lineRule="auto"/>
        <w:ind w:left="0"/>
        <w:jc w:val="both"/>
        <w:rPr>
          <w:rFonts w:cs="Times New Roman"/>
          <w:lang w:val="en-US"/>
        </w:rPr>
      </w:pPr>
    </w:p>
    <w:p w:rsidR="008975F4" w:rsidRPr="008975F4" w:rsidDel="004862E2" w:rsidRDefault="008975F4" w:rsidP="001369A8">
      <w:pPr>
        <w:pStyle w:val="ListParagraph"/>
        <w:spacing w:after="0" w:line="288" w:lineRule="auto"/>
        <w:ind w:left="0"/>
        <w:jc w:val="both"/>
        <w:rPr>
          <w:rFonts w:cs="Times New Roman"/>
          <w:lang w:val="en-US"/>
        </w:rPr>
      </w:pPr>
      <w:commentRangeStart w:id="7"/>
      <w:r w:rsidRPr="008975F4">
        <w:rPr>
          <w:rFonts w:cs="Times New Roman"/>
          <w:lang w:val="en-US"/>
        </w:rPr>
        <w:t xml:space="preserve">As a result of the monitoring, the LRCM issued and published </w:t>
      </w:r>
      <w:commentRangeEnd w:id="7"/>
      <w:r>
        <w:rPr>
          <w:rStyle w:val="CommentReference"/>
        </w:rPr>
        <w:commentReference w:id="7"/>
      </w:r>
      <w:r w:rsidRPr="008975F4">
        <w:rPr>
          <w:rFonts w:cs="Times New Roman"/>
          <w:lang w:val="en-US"/>
        </w:rPr>
        <w:t xml:space="preserve">a </w:t>
      </w:r>
      <w:hyperlink r:id="rId12" w:history="1">
        <w:r w:rsidRPr="008975F4">
          <w:rPr>
            <w:rStyle w:val="Hyperlink"/>
            <w:rFonts w:eastAsia="Times New Roman" w:cs="Times New Roman"/>
            <w:i/>
            <w:lang w:val="en-US" w:eastAsia="ru-RU"/>
          </w:rPr>
          <w:t>Report on the SCM Transparency and Efficiency</w:t>
        </w:r>
      </w:hyperlink>
      <w:r w:rsidRPr="008975F4">
        <w:rPr>
          <w:rFonts w:eastAsia="Times New Roman" w:cs="Times New Roman"/>
          <w:color w:val="000000"/>
          <w:lang w:val="en-US" w:eastAsia="ru-RU"/>
        </w:rPr>
        <w:t xml:space="preserve">. The report reviewed the SCM activities in the period from </w:t>
      </w:r>
      <w:r w:rsidRPr="008975F4">
        <w:rPr>
          <w:rFonts w:cs="Times New Roman"/>
          <w:lang w:val="en-US"/>
        </w:rPr>
        <w:t xml:space="preserve">2010 to 2012 from the point of view of its transparency and interaction with the media and the civil society as well as its efficiency from the perspective of its own administration and that of the judicial system. The LRCM also reviewed the activities of the Qualification and Disciplinary Boards, of the Judicial Inspection, and of the SCM Secretariat. The report lists a series of strengths and weaknesses in the SCM work and its related entities, and makes recommendations on how to improve the weaknesses identified. In order to contribute to eliminating the weaknesses identified in the monitoring report, in 2014, the LRCM will cooperate with the SCM in improving its internal work and the system of </w:t>
      </w:r>
      <w:r w:rsidRPr="002B3714">
        <w:rPr>
          <w:rFonts w:cs="Times New Roman"/>
          <w:color w:val="FF0000"/>
          <w:lang w:val="en-US"/>
        </w:rPr>
        <w:t>holding judges disciplinarily liable</w:t>
      </w:r>
      <w:r w:rsidRPr="008975F4">
        <w:rPr>
          <w:rFonts w:cs="Times New Roman"/>
          <w:lang w:val="en-US"/>
        </w:rPr>
        <w:t>.</w:t>
      </w:r>
    </w:p>
    <w:p w:rsidR="0088593C" w:rsidRDefault="0088593C" w:rsidP="001369A8">
      <w:pPr>
        <w:pStyle w:val="ListParagraph"/>
        <w:spacing w:after="0" w:line="288" w:lineRule="auto"/>
        <w:ind w:left="0"/>
        <w:jc w:val="both"/>
        <w:rPr>
          <w:rFonts w:cs="Times New Roman"/>
        </w:rPr>
      </w:pPr>
    </w:p>
    <w:p w:rsidR="002766CC" w:rsidRPr="0088593C" w:rsidRDefault="0088593C" w:rsidP="001369A8">
      <w:pPr>
        <w:pStyle w:val="ListParagraph"/>
        <w:spacing w:after="0" w:line="288" w:lineRule="auto"/>
        <w:ind w:left="0"/>
        <w:jc w:val="both"/>
        <w:rPr>
          <w:rFonts w:cs="Times New Roman"/>
          <w:lang w:val="en-US"/>
        </w:rPr>
      </w:pPr>
      <w:commentRangeStart w:id="8"/>
      <w:r w:rsidRPr="0088593C">
        <w:rPr>
          <w:rFonts w:cs="Times New Roman"/>
          <w:lang w:val="en-US"/>
        </w:rPr>
        <w:t xml:space="preserve">The LRCM submitted to the SCM </w:t>
      </w:r>
      <w:commentRangeEnd w:id="8"/>
      <w:r>
        <w:rPr>
          <w:rStyle w:val="CommentReference"/>
        </w:rPr>
        <w:commentReference w:id="8"/>
      </w:r>
      <w:hyperlink r:id="rId13" w:history="1">
        <w:r w:rsidRPr="0088593C">
          <w:rPr>
            <w:rStyle w:val="Hyperlink"/>
            <w:rFonts w:cs="Times New Roman"/>
            <w:lang w:val="en-US"/>
          </w:rPr>
          <w:t>recommendations</w:t>
        </w:r>
      </w:hyperlink>
      <w:r w:rsidRPr="0088593C">
        <w:rPr>
          <w:lang w:val="en-US"/>
        </w:rPr>
        <w:t xml:space="preserve"> </w:t>
      </w:r>
      <w:r w:rsidRPr="0088593C">
        <w:rPr>
          <w:rFonts w:cs="Times New Roman"/>
          <w:lang w:val="en-US"/>
        </w:rPr>
        <w:t xml:space="preserve">related to the development of the Regulation on the Procedure and Criteria of Evaluation of Judge Performance. In the autumn of 2013, the LRCM made </w:t>
      </w:r>
      <w:hyperlink r:id="rId14" w:history="1">
        <w:r w:rsidRPr="0088593C">
          <w:rPr>
            <w:rStyle w:val="Hyperlink"/>
            <w:rFonts w:cs="Times New Roman"/>
            <w:lang w:val="en-US"/>
          </w:rPr>
          <w:t>recommendations to improve</w:t>
        </w:r>
      </w:hyperlink>
      <w:r w:rsidRPr="0088593C">
        <w:rPr>
          <w:lang w:val="en-US"/>
        </w:rPr>
        <w:t xml:space="preserve"> </w:t>
      </w:r>
      <w:r w:rsidRPr="0088593C">
        <w:rPr>
          <w:rFonts w:cs="Times New Roman"/>
          <w:lang w:val="en-US"/>
        </w:rPr>
        <w:t xml:space="preserve">this Regulation. The LRCM also made </w:t>
      </w:r>
      <w:hyperlink r:id="rId15" w:history="1">
        <w:r w:rsidRPr="0088593C">
          <w:rPr>
            <w:rStyle w:val="Hyperlink"/>
            <w:rFonts w:cs="Times New Roman"/>
            <w:lang w:val="en-US"/>
          </w:rPr>
          <w:t>recommendations</w:t>
        </w:r>
      </w:hyperlink>
      <w:r w:rsidRPr="0088593C">
        <w:rPr>
          <w:lang w:val="en-US"/>
        </w:rPr>
        <w:t xml:space="preserve"> </w:t>
      </w:r>
      <w:r w:rsidRPr="0088593C">
        <w:rPr>
          <w:rFonts w:cs="Times New Roman"/>
          <w:lang w:val="en-US"/>
        </w:rPr>
        <w:t>related to the development of the Regulation on Organizing the Activities of the Board for the Evaluation of Judge Performance and of the Regulation on the Public and Media Relations Service of the SCM</w:t>
      </w:r>
      <w:r w:rsidRPr="0088593C">
        <w:rPr>
          <w:rFonts w:cs="Times New Roman"/>
          <w:bCs/>
          <w:iCs/>
          <w:lang w:val="en-US"/>
        </w:rPr>
        <w:t xml:space="preserve">. The SCM accepted many of the </w:t>
      </w:r>
      <w:r w:rsidRPr="0088593C">
        <w:rPr>
          <w:rFonts w:cs="Times New Roman"/>
          <w:lang w:val="en-US"/>
        </w:rPr>
        <w:t xml:space="preserve">LRCM </w:t>
      </w:r>
      <w:r w:rsidRPr="0088593C">
        <w:rPr>
          <w:rFonts w:cs="Times New Roman"/>
          <w:bCs/>
          <w:iCs/>
          <w:lang w:val="en-US"/>
        </w:rPr>
        <w:t>proposals and transposed them in its regulations.</w:t>
      </w:r>
    </w:p>
    <w:p w:rsidR="002766CC" w:rsidRPr="003A2DCA" w:rsidRDefault="002766CC" w:rsidP="001369A8">
      <w:pPr>
        <w:pStyle w:val="ListParagraph"/>
        <w:spacing w:after="0" w:line="288" w:lineRule="auto"/>
        <w:ind w:left="0"/>
        <w:jc w:val="both"/>
        <w:rPr>
          <w:rFonts w:cs="Times New Roman"/>
          <w:lang w:val="en-US"/>
        </w:rPr>
      </w:pPr>
    </w:p>
    <w:p w:rsidR="00F31628" w:rsidRPr="003A2DCA" w:rsidRDefault="00F31628" w:rsidP="001369A8">
      <w:pPr>
        <w:pStyle w:val="ListParagraph"/>
        <w:spacing w:after="0" w:line="288" w:lineRule="auto"/>
        <w:ind w:left="0"/>
        <w:jc w:val="both"/>
        <w:rPr>
          <w:rFonts w:cs="Times New Roman"/>
          <w:bCs/>
          <w:iCs/>
          <w:lang w:val="en-US"/>
        </w:rPr>
      </w:pPr>
    </w:p>
    <w:p w:rsidR="003A2DCA" w:rsidRPr="003A2DCA" w:rsidRDefault="003A2DCA" w:rsidP="003A2DCA">
      <w:pPr>
        <w:pStyle w:val="ListParagraph"/>
        <w:spacing w:after="0" w:line="288" w:lineRule="auto"/>
        <w:ind w:left="0"/>
        <w:jc w:val="both"/>
        <w:rPr>
          <w:rFonts w:cs="Times New Roman"/>
          <w:b/>
          <w:bCs/>
          <w:iCs/>
          <w:lang w:val="en-US"/>
        </w:rPr>
      </w:pPr>
      <w:r w:rsidRPr="003A2DCA">
        <w:rPr>
          <w:rFonts w:cs="Times New Roman"/>
          <w:b/>
          <w:bCs/>
          <w:iCs/>
          <w:lang w:val="en-US"/>
        </w:rPr>
        <w:t>iii. Evaluation and Accountability of Judges</w:t>
      </w:r>
    </w:p>
    <w:p w:rsidR="003A2DCA" w:rsidRPr="003A2DCA" w:rsidRDefault="003A2DCA" w:rsidP="003A2DCA">
      <w:pPr>
        <w:pStyle w:val="Header"/>
        <w:tabs>
          <w:tab w:val="clear" w:pos="4677"/>
          <w:tab w:val="clear" w:pos="9355"/>
          <w:tab w:val="left" w:pos="3315"/>
        </w:tabs>
        <w:spacing w:line="288" w:lineRule="auto"/>
        <w:jc w:val="both"/>
        <w:rPr>
          <w:rFonts w:cs="Times New Roman"/>
          <w:lang w:val="en-US"/>
        </w:rPr>
      </w:pPr>
    </w:p>
    <w:p w:rsidR="002478D4" w:rsidRDefault="003A2DCA" w:rsidP="003A2DCA">
      <w:pPr>
        <w:pStyle w:val="Header"/>
        <w:tabs>
          <w:tab w:val="clear" w:pos="4677"/>
          <w:tab w:val="clear" w:pos="9355"/>
          <w:tab w:val="left" w:pos="3315"/>
        </w:tabs>
        <w:spacing w:line="288" w:lineRule="auto"/>
        <w:jc w:val="both"/>
        <w:rPr>
          <w:rFonts w:cs="Times New Roman"/>
          <w:lang w:val="en-US" w:eastAsia="ru-RU"/>
        </w:rPr>
      </w:pPr>
      <w:r w:rsidRPr="003A2DCA">
        <w:rPr>
          <w:rFonts w:cs="Times New Roman"/>
          <w:lang w:val="en-US"/>
        </w:rPr>
        <w:t>In 2012, the Parliament passed the Law no.153</w:t>
      </w:r>
      <w:r w:rsidR="00500CC3">
        <w:rPr>
          <w:rFonts w:cs="Times New Roman"/>
          <w:lang w:val="en-US"/>
        </w:rPr>
        <w:t xml:space="preserve"> </w:t>
      </w:r>
      <w:r w:rsidRPr="003A2DCA">
        <w:rPr>
          <w:rFonts w:cs="Times New Roman"/>
          <w:lang w:val="en-US"/>
        </w:rPr>
        <w:t xml:space="preserve">that </w:t>
      </w:r>
      <w:r w:rsidRPr="003A2DCA">
        <w:rPr>
          <w:rFonts w:cs="Times New Roman"/>
          <w:i/>
          <w:lang w:val="en-US"/>
        </w:rPr>
        <w:t xml:space="preserve">inter alia </w:t>
      </w:r>
      <w:r w:rsidRPr="003A2DCA">
        <w:rPr>
          <w:rFonts w:cs="Times New Roman"/>
          <w:lang w:val="en-US"/>
        </w:rPr>
        <w:t xml:space="preserve">implied reforming the institution of the judges responsible for authorizing certain investigation measures and for supervising the observance of the law at the criminal investigation stage, called investigative judges. This reform </w:t>
      </w:r>
      <w:r w:rsidR="00500CC3" w:rsidRPr="003A2DCA">
        <w:rPr>
          <w:rFonts w:cs="Times New Roman"/>
          <w:lang w:val="en-US"/>
        </w:rPr>
        <w:t>aims</w:t>
      </w:r>
      <w:r w:rsidRPr="003A2DCA">
        <w:rPr>
          <w:rFonts w:cs="Times New Roman"/>
          <w:lang w:val="en-US"/>
        </w:rPr>
        <w:t xml:space="preserve"> to evaluate all the investigative judges in the country and, if the evaluation was positive, to reconfirm them in </w:t>
      </w:r>
      <w:r w:rsidR="00F44F5C">
        <w:rPr>
          <w:rFonts w:cs="Times New Roman"/>
          <w:lang w:val="en-US"/>
        </w:rPr>
        <w:t>the position/</w:t>
      </w:r>
      <w:r w:rsidRPr="00F44F5C">
        <w:rPr>
          <w:rFonts w:cs="Times New Roman"/>
          <w:color w:val="FF0000"/>
          <w:lang w:val="en-US"/>
        </w:rPr>
        <w:t>their office</w:t>
      </w:r>
      <w:r w:rsidRPr="003A2DCA">
        <w:rPr>
          <w:rFonts w:cs="Times New Roman"/>
          <w:lang w:val="en-US"/>
        </w:rPr>
        <w:t xml:space="preserve"> of common law judges. In December 2013, the LRCM launched the policy paper </w:t>
      </w:r>
      <w:hyperlink r:id="rId16" w:history="1">
        <w:r w:rsidRPr="007C0530">
          <w:rPr>
            <w:rStyle w:val="Hyperlink"/>
            <w:rFonts w:cs="Times New Roman"/>
            <w:i/>
            <w:lang w:val="en-US" w:eastAsia="ru-RU"/>
          </w:rPr>
          <w:t>Reform</w:t>
        </w:r>
        <w:r w:rsidR="00C24C40" w:rsidRPr="007C0530">
          <w:rPr>
            <w:rStyle w:val="Hyperlink"/>
            <w:rFonts w:cs="Times New Roman"/>
            <w:i/>
            <w:lang w:val="en-US" w:eastAsia="ru-RU"/>
          </w:rPr>
          <w:t>ing</w:t>
        </w:r>
        <w:r w:rsidRPr="007C0530">
          <w:rPr>
            <w:rStyle w:val="Hyperlink"/>
            <w:rFonts w:cs="Times New Roman"/>
            <w:i/>
            <w:lang w:val="en-US" w:eastAsia="ru-RU"/>
          </w:rPr>
          <w:t xml:space="preserve"> the Investigati</w:t>
        </w:r>
        <w:r w:rsidR="007C0530" w:rsidRPr="007C0530">
          <w:rPr>
            <w:rStyle w:val="Hyperlink"/>
            <w:rFonts w:cs="Times New Roman"/>
            <w:i/>
            <w:lang w:val="en-US" w:eastAsia="ru-RU"/>
          </w:rPr>
          <w:t>ng</w:t>
        </w:r>
        <w:r w:rsidRPr="007C0530">
          <w:rPr>
            <w:rStyle w:val="Hyperlink"/>
            <w:rFonts w:cs="Times New Roman"/>
            <w:i/>
            <w:lang w:val="en-US" w:eastAsia="ru-RU"/>
          </w:rPr>
          <w:t xml:space="preserve"> Judge Institution: </w:t>
        </w:r>
        <w:r w:rsidR="00C24C40" w:rsidRPr="007C0530">
          <w:rPr>
            <w:rStyle w:val="Hyperlink"/>
            <w:rFonts w:cs="Times New Roman"/>
            <w:i/>
            <w:lang w:val="en-US" w:eastAsia="ru-RU"/>
          </w:rPr>
          <w:t>Challenges</w:t>
        </w:r>
        <w:r w:rsidRPr="007C0530">
          <w:rPr>
            <w:rStyle w:val="Hyperlink"/>
            <w:rFonts w:cs="Times New Roman"/>
            <w:i/>
            <w:lang w:val="en-US" w:eastAsia="ru-RU"/>
          </w:rPr>
          <w:t>, Risks and Solutions</w:t>
        </w:r>
      </w:hyperlink>
      <w:r w:rsidRPr="007C0530">
        <w:rPr>
          <w:rFonts w:cs="Times New Roman"/>
          <w:i/>
          <w:lang w:val="en-US" w:eastAsia="ru-RU"/>
        </w:rPr>
        <w:t>.</w:t>
      </w:r>
      <w:r w:rsidRPr="003A2DCA">
        <w:rPr>
          <w:lang w:val="en-US"/>
        </w:rPr>
        <w:t xml:space="preserve"> </w:t>
      </w:r>
      <w:r w:rsidRPr="003A2DCA">
        <w:rPr>
          <w:rFonts w:cs="Times New Roman"/>
          <w:lang w:val="en-US" w:eastAsia="ru-RU"/>
        </w:rPr>
        <w:t>This mainly refers to the impact and risks of the institution</w:t>
      </w:r>
      <w:r w:rsidR="00B07526">
        <w:rPr>
          <w:rFonts w:cs="Times New Roman"/>
          <w:lang w:val="en-US" w:eastAsia="ru-RU"/>
        </w:rPr>
        <w:t>`s</w:t>
      </w:r>
      <w:r w:rsidRPr="003A2DCA">
        <w:rPr>
          <w:rFonts w:cs="Times New Roman"/>
          <w:lang w:val="en-US" w:eastAsia="ru-RU"/>
        </w:rPr>
        <w:t xml:space="preserve"> of investigative judges</w:t>
      </w:r>
      <w:r w:rsidR="007A75DA">
        <w:rPr>
          <w:rFonts w:cs="Times New Roman"/>
          <w:lang w:val="en-US" w:eastAsia="ru-RU"/>
        </w:rPr>
        <w:t xml:space="preserve"> reform</w:t>
      </w:r>
      <w:r w:rsidRPr="003A2DCA">
        <w:rPr>
          <w:rFonts w:cs="Times New Roman"/>
          <w:lang w:val="en-US" w:eastAsia="ru-RU"/>
        </w:rPr>
        <w:t xml:space="preserve">, introduced by Law no.153. The </w:t>
      </w:r>
      <w:r w:rsidRPr="003A2DCA">
        <w:rPr>
          <w:rFonts w:cs="Times New Roman"/>
          <w:lang w:val="en-US"/>
        </w:rPr>
        <w:t xml:space="preserve">LRCM </w:t>
      </w:r>
      <w:r w:rsidRPr="003A2DCA">
        <w:rPr>
          <w:rFonts w:cs="Times New Roman"/>
          <w:lang w:val="en-US" w:eastAsia="ru-RU"/>
        </w:rPr>
        <w:t xml:space="preserve">made recommendations on the future </w:t>
      </w:r>
      <w:r w:rsidR="00432E94">
        <w:rPr>
          <w:rStyle w:val="hps"/>
        </w:rPr>
        <w:t>fulfillment of duties</w:t>
      </w:r>
      <w:r w:rsidR="00432E94" w:rsidRPr="00432E94">
        <w:rPr>
          <w:rFonts w:cs="Times New Roman"/>
          <w:lang w:val="en-US" w:eastAsia="ru-RU"/>
        </w:rPr>
        <w:t>/</w:t>
      </w:r>
      <w:r w:rsidRPr="00432E94">
        <w:rPr>
          <w:rFonts w:cs="Times New Roman"/>
          <w:color w:val="FF0000"/>
          <w:lang w:val="en-US" w:eastAsia="ru-RU"/>
        </w:rPr>
        <w:t>duties</w:t>
      </w:r>
      <w:r w:rsidRPr="003A2DCA">
        <w:rPr>
          <w:rFonts w:cs="Times New Roman"/>
          <w:lang w:val="en-US" w:eastAsia="ru-RU"/>
        </w:rPr>
        <w:t xml:space="preserve"> and training of investigative judges. In December 2013, the </w:t>
      </w:r>
      <w:r w:rsidRPr="003A2DCA">
        <w:rPr>
          <w:rFonts w:cs="Times New Roman"/>
          <w:lang w:val="en-US"/>
        </w:rPr>
        <w:t xml:space="preserve">LRCM </w:t>
      </w:r>
      <w:r w:rsidRPr="003A2DCA">
        <w:rPr>
          <w:rFonts w:cs="Times New Roman"/>
          <w:lang w:val="en-US" w:eastAsia="ru-RU"/>
        </w:rPr>
        <w:t xml:space="preserve">submitted to the MoJ a draft law on improving the mechanism introduced by the Law no.153. In 2014, the </w:t>
      </w:r>
      <w:r w:rsidR="004F0E7F">
        <w:rPr>
          <w:rFonts w:cs="Times New Roman"/>
          <w:lang w:val="en-US"/>
        </w:rPr>
        <w:t>LRCM</w:t>
      </w:r>
      <w:r w:rsidR="004F0E7F" w:rsidRPr="004F0E7F">
        <w:rPr>
          <w:rFonts w:cs="Times New Roman"/>
          <w:lang w:val="en-US"/>
        </w:rPr>
        <w:t xml:space="preserve"> </w:t>
      </w:r>
      <w:r w:rsidR="004F0E7F">
        <w:rPr>
          <w:rFonts w:cs="Times New Roman"/>
          <w:lang w:val="en-US"/>
        </w:rPr>
        <w:t xml:space="preserve">will </w:t>
      </w:r>
      <w:r w:rsidRPr="003A2DCA">
        <w:rPr>
          <w:rFonts w:cs="Times New Roman"/>
          <w:lang w:val="en-US" w:eastAsia="ru-RU"/>
        </w:rPr>
        <w:t>prepare a report on the monitoring of the activities of the SCM and of the Board for the Evaluation of Judge Performance, in regard to the implementation of the reform of the investigative judge institution, introduced by the Law no.153.</w:t>
      </w:r>
    </w:p>
    <w:p w:rsidR="00016534" w:rsidRDefault="00016534" w:rsidP="003A2DCA">
      <w:pPr>
        <w:pStyle w:val="Header"/>
        <w:tabs>
          <w:tab w:val="clear" w:pos="4677"/>
          <w:tab w:val="clear" w:pos="9355"/>
          <w:tab w:val="left" w:pos="3315"/>
        </w:tabs>
        <w:spacing w:line="288" w:lineRule="auto"/>
        <w:jc w:val="both"/>
        <w:rPr>
          <w:rFonts w:cs="Times New Roman"/>
          <w:lang w:val="en-US" w:eastAsia="ru-RU"/>
        </w:rPr>
      </w:pPr>
    </w:p>
    <w:p w:rsidR="00016534" w:rsidRPr="00016534" w:rsidRDefault="00016534" w:rsidP="003A2DCA">
      <w:pPr>
        <w:pStyle w:val="Header"/>
        <w:tabs>
          <w:tab w:val="clear" w:pos="4677"/>
          <w:tab w:val="clear" w:pos="9355"/>
          <w:tab w:val="left" w:pos="3315"/>
        </w:tabs>
        <w:spacing w:line="288" w:lineRule="auto"/>
        <w:jc w:val="both"/>
        <w:rPr>
          <w:rFonts w:cs="Times New Roman"/>
          <w:lang w:val="en-US" w:eastAsia="ru-RU"/>
        </w:rPr>
      </w:pPr>
      <w:commentRangeStart w:id="9"/>
      <w:r w:rsidRPr="00016534">
        <w:rPr>
          <w:rFonts w:cs="Times New Roman"/>
          <w:bCs/>
          <w:iCs/>
          <w:lang w:val="en-US"/>
        </w:rPr>
        <w:t xml:space="preserve">The </w:t>
      </w:r>
      <w:r w:rsidRPr="00016534">
        <w:rPr>
          <w:rFonts w:cs="Times New Roman"/>
          <w:lang w:val="en-US"/>
        </w:rPr>
        <w:t xml:space="preserve">LRCM </w:t>
      </w:r>
      <w:r w:rsidRPr="00016534">
        <w:rPr>
          <w:rFonts w:cs="Times New Roman"/>
          <w:bCs/>
          <w:iCs/>
          <w:lang w:val="en-US"/>
        </w:rPr>
        <w:t xml:space="preserve">was involved in developing the draft law on the disciplinary liability of judges. The working group established at the MoJ accepted many of the </w:t>
      </w:r>
      <w:r w:rsidRPr="00016534">
        <w:rPr>
          <w:rFonts w:cs="Times New Roman"/>
          <w:lang w:val="en-US"/>
        </w:rPr>
        <w:t xml:space="preserve">LRCM </w:t>
      </w:r>
      <w:r w:rsidRPr="00016534">
        <w:rPr>
          <w:rFonts w:cs="Times New Roman"/>
          <w:bCs/>
          <w:iCs/>
          <w:lang w:val="en-US"/>
        </w:rPr>
        <w:t xml:space="preserve">proposals but did not accept some of the important ideas, such as simplified initiation of disciplinary proceedings. Subsequently, in February 2013, in the context of the public consultations on the draft law, the </w:t>
      </w:r>
      <w:r w:rsidRPr="00016534">
        <w:rPr>
          <w:rFonts w:cs="Times New Roman"/>
          <w:lang w:val="en-US"/>
        </w:rPr>
        <w:t xml:space="preserve">LRCM again submitted to the MoJ proposals for improving the draft law developed by the working group. </w:t>
      </w:r>
      <w:r w:rsidRPr="00016534">
        <w:rPr>
          <w:rFonts w:cs="Times New Roman"/>
          <w:bCs/>
          <w:iCs/>
          <w:lang w:val="en-US"/>
        </w:rPr>
        <w:t>Some of the proposals were accepted.</w:t>
      </w:r>
      <w:commentRangeEnd w:id="9"/>
      <w:r>
        <w:rPr>
          <w:rStyle w:val="CommentReference"/>
        </w:rPr>
        <w:commentReference w:id="9"/>
      </w:r>
    </w:p>
    <w:p w:rsidR="00E87EDA" w:rsidRPr="00C13B4B" w:rsidRDefault="00C13B4B" w:rsidP="001369A8">
      <w:pPr>
        <w:pStyle w:val="Header"/>
        <w:tabs>
          <w:tab w:val="clear" w:pos="4677"/>
          <w:tab w:val="clear" w:pos="9355"/>
          <w:tab w:val="left" w:pos="3315"/>
        </w:tabs>
        <w:spacing w:line="288" w:lineRule="auto"/>
        <w:jc w:val="both"/>
        <w:rPr>
          <w:rFonts w:cs="Times New Roman"/>
          <w:color w:val="000000"/>
          <w:shd w:val="clear" w:color="auto" w:fill="FFFFFF"/>
          <w:lang w:val="en-US"/>
        </w:rPr>
      </w:pPr>
      <w:r w:rsidRPr="00C13B4B">
        <w:rPr>
          <w:rFonts w:cs="Times New Roman"/>
          <w:lang w:val="en-US"/>
        </w:rPr>
        <w:lastRenderedPageBreak/>
        <w:t xml:space="preserve">In the spring of 2013, in the </w:t>
      </w:r>
      <w:r w:rsidR="008C1FC1">
        <w:rPr>
          <w:rFonts w:cs="Times New Roman"/>
          <w:lang w:val="en-US"/>
        </w:rPr>
        <w:t>context</w:t>
      </w:r>
      <w:r w:rsidRPr="00C13B4B">
        <w:rPr>
          <w:rFonts w:cs="Times New Roman"/>
          <w:lang w:val="en-US"/>
        </w:rPr>
        <w:t xml:space="preserve"> of examination by the Constitutional Court (CC) of the constitutionality of legislative amendments that simplified the immunity of judges, the LRCM developed a </w:t>
      </w:r>
      <w:hyperlink r:id="rId17" w:history="1">
        <w:r w:rsidRPr="00C13B4B">
          <w:rPr>
            <w:rStyle w:val="Hyperlink"/>
            <w:rFonts w:cs="Times New Roman"/>
            <w:lang w:val="en-US"/>
          </w:rPr>
          <w:t>compared law review of judicial immunity</w:t>
        </w:r>
      </w:hyperlink>
      <w:r>
        <w:rPr>
          <w:rFonts w:cs="Times New Roman"/>
          <w:lang w:val="en-US"/>
        </w:rPr>
        <w:t xml:space="preserve">, </w:t>
      </w:r>
      <w:r w:rsidR="008C1FC1">
        <w:rPr>
          <w:rFonts w:cs="Times New Roman"/>
          <w:lang w:val="en-US"/>
        </w:rPr>
        <w:t>regarding/</w:t>
      </w:r>
      <w:r w:rsidRPr="008C1FC1">
        <w:rPr>
          <w:rFonts w:cs="Times New Roman"/>
          <w:color w:val="FF0000"/>
          <w:lang w:val="en-US"/>
        </w:rPr>
        <w:t>looking</w:t>
      </w:r>
      <w:r w:rsidRPr="00C13B4B">
        <w:rPr>
          <w:rFonts w:cs="Times New Roman"/>
          <w:lang w:val="en-US"/>
        </w:rPr>
        <w:t xml:space="preserve"> at the criminal proceedings of 18 European countries. The review led to the conclusion that generally the </w:t>
      </w:r>
      <w:r w:rsidR="008C1FC1">
        <w:rPr>
          <w:rFonts w:cs="Times New Roman"/>
          <w:lang w:val="en-US"/>
        </w:rPr>
        <w:t>guarantees granted for/</w:t>
      </w:r>
      <w:r w:rsidRPr="008C1FC1">
        <w:rPr>
          <w:rFonts w:cs="Times New Roman"/>
          <w:color w:val="FF0000"/>
          <w:lang w:val="en-US"/>
        </w:rPr>
        <w:t>safeguards</w:t>
      </w:r>
      <w:r w:rsidRPr="00C13B4B">
        <w:rPr>
          <w:rFonts w:cs="Times New Roman"/>
          <w:lang w:val="en-US"/>
        </w:rPr>
        <w:t xml:space="preserve"> </w:t>
      </w:r>
      <w:r w:rsidRPr="008C1FC1">
        <w:rPr>
          <w:rFonts w:cs="Times New Roman"/>
          <w:color w:val="FF0000"/>
          <w:lang w:val="en-US"/>
        </w:rPr>
        <w:t>enjoyed by</w:t>
      </w:r>
      <w:r w:rsidRPr="00C13B4B">
        <w:rPr>
          <w:rFonts w:cs="Times New Roman"/>
          <w:lang w:val="en-US"/>
        </w:rPr>
        <w:t xml:space="preserve"> judges against prosecution are not a </w:t>
      </w:r>
      <w:r w:rsidR="008C1FC1">
        <w:rPr>
          <w:rFonts w:cs="Times New Roman"/>
          <w:lang w:val="en-US"/>
        </w:rPr>
        <w:t>custom/</w:t>
      </w:r>
      <w:r w:rsidRPr="008C1FC1">
        <w:rPr>
          <w:rFonts w:cs="Times New Roman"/>
          <w:color w:val="FF0000"/>
          <w:lang w:val="en-US"/>
        </w:rPr>
        <w:t>common law</w:t>
      </w:r>
      <w:r w:rsidRPr="00C13B4B">
        <w:rPr>
          <w:rFonts w:cs="Times New Roman"/>
          <w:lang w:val="en-US"/>
        </w:rPr>
        <w:t xml:space="preserve"> at the European level. </w:t>
      </w:r>
      <w:r w:rsidRPr="00C13B4B">
        <w:rPr>
          <w:rFonts w:cs="Times New Roman"/>
          <w:color w:val="000000"/>
          <w:shd w:val="clear" w:color="auto" w:fill="FFFFFF"/>
          <w:lang w:val="en-US"/>
        </w:rPr>
        <w:t xml:space="preserve">They exist in 14 out of the 18 legal systems considered. In the 14 countries where judges </w:t>
      </w:r>
      <w:r w:rsidR="00667220">
        <w:rPr>
          <w:rFonts w:cs="Times New Roman"/>
          <w:color w:val="000000"/>
          <w:shd w:val="clear" w:color="auto" w:fill="FFFFFF"/>
          <w:lang w:val="en-US"/>
        </w:rPr>
        <w:t>benefit from/</w:t>
      </w:r>
      <w:r w:rsidRPr="00667220">
        <w:rPr>
          <w:rFonts w:cs="Times New Roman"/>
          <w:color w:val="FF0000"/>
          <w:shd w:val="clear" w:color="auto" w:fill="FFFFFF"/>
          <w:lang w:val="en-US"/>
        </w:rPr>
        <w:t>enjoy</w:t>
      </w:r>
      <w:r w:rsidRPr="00C13B4B">
        <w:rPr>
          <w:rFonts w:cs="Times New Roman"/>
          <w:color w:val="000000"/>
          <w:shd w:val="clear" w:color="auto" w:fill="FFFFFF"/>
          <w:lang w:val="en-US"/>
        </w:rPr>
        <w:t xml:space="preserve"> additional </w:t>
      </w:r>
      <w:r w:rsidR="00667220">
        <w:rPr>
          <w:rFonts w:cs="Times New Roman"/>
          <w:color w:val="000000"/>
          <w:shd w:val="clear" w:color="auto" w:fill="FFFFFF"/>
          <w:lang w:val="en-US"/>
        </w:rPr>
        <w:t>guarantees/</w:t>
      </w:r>
      <w:r w:rsidRPr="00667220">
        <w:rPr>
          <w:rFonts w:cs="Times New Roman"/>
          <w:color w:val="FF0000"/>
          <w:shd w:val="clear" w:color="auto" w:fill="FFFFFF"/>
          <w:lang w:val="en-US"/>
        </w:rPr>
        <w:t>safeguards</w:t>
      </w:r>
      <w:r w:rsidRPr="00C13B4B">
        <w:rPr>
          <w:rFonts w:cs="Times New Roman"/>
          <w:color w:val="000000"/>
          <w:shd w:val="clear" w:color="auto" w:fill="FFFFFF"/>
          <w:lang w:val="en-US"/>
        </w:rPr>
        <w:t xml:space="preserve">, the level of </w:t>
      </w:r>
      <w:r w:rsidR="00D859F5">
        <w:rPr>
          <w:rFonts w:cs="Times New Roman"/>
          <w:color w:val="000000"/>
          <w:shd w:val="clear" w:color="auto" w:fill="FFFFFF"/>
          <w:lang w:val="en-US"/>
        </w:rPr>
        <w:t>guarantees/</w:t>
      </w:r>
      <w:r w:rsidRPr="00D859F5">
        <w:rPr>
          <w:rFonts w:cs="Times New Roman"/>
          <w:color w:val="FF0000"/>
          <w:shd w:val="clear" w:color="auto" w:fill="FFFFFF"/>
          <w:lang w:val="en-US"/>
        </w:rPr>
        <w:t>safeguards</w:t>
      </w:r>
      <w:r w:rsidRPr="00C13B4B">
        <w:rPr>
          <w:rFonts w:cs="Times New Roman"/>
          <w:color w:val="000000"/>
          <w:shd w:val="clear" w:color="auto" w:fill="FFFFFF"/>
          <w:lang w:val="en-US"/>
        </w:rPr>
        <w:t xml:space="preserve"> </w:t>
      </w:r>
      <w:r w:rsidR="009C23F0">
        <w:rPr>
          <w:rFonts w:cs="Times New Roman"/>
          <w:color w:val="000000"/>
          <w:shd w:val="clear" w:color="auto" w:fill="FFFFFF"/>
          <w:lang w:val="en-US"/>
        </w:rPr>
        <w:t>granted/</w:t>
      </w:r>
      <w:r w:rsidRPr="009C23F0">
        <w:rPr>
          <w:rFonts w:cs="Times New Roman"/>
          <w:color w:val="FF0000"/>
          <w:shd w:val="clear" w:color="auto" w:fill="FFFFFF"/>
          <w:lang w:val="en-US"/>
        </w:rPr>
        <w:t>provided</w:t>
      </w:r>
      <w:r w:rsidRPr="00C13B4B">
        <w:rPr>
          <w:rFonts w:cs="Times New Roman"/>
          <w:color w:val="000000"/>
          <w:shd w:val="clear" w:color="auto" w:fill="FFFFFF"/>
          <w:lang w:val="en-US"/>
        </w:rPr>
        <w:t xml:space="preserve"> by law largely depended on the discretion of the legislator. On the other hand, the </w:t>
      </w:r>
      <w:r w:rsidR="00833535">
        <w:rPr>
          <w:rFonts w:cs="Times New Roman"/>
          <w:color w:val="000000"/>
          <w:shd w:val="clear" w:color="auto" w:fill="FFFFFF"/>
          <w:lang w:val="en-US"/>
        </w:rPr>
        <w:t>guarantees/</w:t>
      </w:r>
      <w:r w:rsidRPr="00833535">
        <w:rPr>
          <w:rFonts w:cs="Times New Roman"/>
          <w:color w:val="FF0000"/>
          <w:shd w:val="clear" w:color="auto" w:fill="FFFFFF"/>
          <w:lang w:val="en-US"/>
        </w:rPr>
        <w:t>safeguards</w:t>
      </w:r>
      <w:r w:rsidRPr="00C13B4B">
        <w:rPr>
          <w:rFonts w:cs="Times New Roman"/>
          <w:color w:val="000000"/>
          <w:shd w:val="clear" w:color="auto" w:fill="FFFFFF"/>
          <w:lang w:val="en-US"/>
        </w:rPr>
        <w:t xml:space="preserve"> granted to judges against prosecution did not necessarily result in</w:t>
      </w:r>
      <w:r w:rsidR="00833535">
        <w:rPr>
          <w:rFonts w:cs="Times New Roman"/>
          <w:color w:val="000000"/>
          <w:shd w:val="clear" w:color="auto" w:fill="FFFFFF"/>
          <w:lang w:val="en-US"/>
        </w:rPr>
        <w:t xml:space="preserve"> better/</w:t>
      </w:r>
      <w:r w:rsidRPr="00833535">
        <w:rPr>
          <w:rFonts w:cs="Times New Roman"/>
          <w:color w:val="FF0000"/>
          <w:shd w:val="clear" w:color="auto" w:fill="FFFFFF"/>
          <w:lang w:val="en-US"/>
        </w:rPr>
        <w:t>broader</w:t>
      </w:r>
      <w:r w:rsidRPr="00C13B4B">
        <w:rPr>
          <w:rFonts w:cs="Times New Roman"/>
          <w:color w:val="000000"/>
          <w:shd w:val="clear" w:color="auto" w:fill="FFFFFF"/>
          <w:lang w:val="en-US"/>
        </w:rPr>
        <w:t xml:space="preserve"> independence for the judicial system. The review was sent to the CC for </w:t>
      </w:r>
      <w:r w:rsidR="006F59C2">
        <w:rPr>
          <w:rFonts w:cs="Times New Roman"/>
          <w:color w:val="000000"/>
          <w:shd w:val="clear" w:color="auto" w:fill="FFFFFF"/>
          <w:lang w:val="en-US"/>
        </w:rPr>
        <w:t>examination</w:t>
      </w:r>
      <w:r w:rsidRPr="00C13B4B">
        <w:rPr>
          <w:rFonts w:cs="Times New Roman"/>
          <w:color w:val="000000"/>
          <w:shd w:val="clear" w:color="auto" w:fill="FFFFFF"/>
          <w:lang w:val="en-US"/>
        </w:rPr>
        <w:t xml:space="preserve">. </w:t>
      </w:r>
    </w:p>
    <w:p w:rsidR="00C13B4B" w:rsidRPr="00D2304A" w:rsidRDefault="00C13B4B" w:rsidP="001369A8">
      <w:pPr>
        <w:pStyle w:val="Header"/>
        <w:tabs>
          <w:tab w:val="clear" w:pos="4677"/>
          <w:tab w:val="clear" w:pos="9355"/>
          <w:tab w:val="left" w:pos="3315"/>
        </w:tabs>
        <w:spacing w:line="288" w:lineRule="auto"/>
        <w:jc w:val="both"/>
        <w:rPr>
          <w:rFonts w:cs="Times New Roman"/>
          <w:bCs/>
          <w:iCs/>
          <w:lang w:val="ro-MO"/>
        </w:rPr>
      </w:pPr>
    </w:p>
    <w:p w:rsidR="00D1030B" w:rsidRPr="001E33FF" w:rsidRDefault="00D1030B" w:rsidP="00D1030B">
      <w:pPr>
        <w:spacing w:after="0" w:line="288" w:lineRule="auto"/>
        <w:jc w:val="both"/>
        <w:rPr>
          <w:rFonts w:cs="Times New Roman"/>
          <w:b/>
          <w:bCs/>
          <w:lang w:val="en-US"/>
        </w:rPr>
      </w:pPr>
      <w:r w:rsidRPr="001E33FF">
        <w:rPr>
          <w:rFonts w:cs="Times New Roman"/>
          <w:b/>
          <w:lang w:val="en-US"/>
        </w:rPr>
        <w:t>iv. Enhancing the Independence and Efficiency of Prosecution</w:t>
      </w:r>
    </w:p>
    <w:p w:rsidR="00D1030B" w:rsidRPr="001E33FF" w:rsidRDefault="00D1030B" w:rsidP="00D1030B">
      <w:pPr>
        <w:pStyle w:val="ListParagraph"/>
        <w:spacing w:after="0" w:line="288" w:lineRule="auto"/>
        <w:ind w:left="0"/>
        <w:jc w:val="both"/>
        <w:rPr>
          <w:rFonts w:cs="Times New Roman"/>
          <w:lang w:val="en-US"/>
        </w:rPr>
      </w:pPr>
    </w:p>
    <w:p w:rsidR="008B7612" w:rsidRPr="001E33FF" w:rsidRDefault="00D1030B" w:rsidP="00D1030B">
      <w:pPr>
        <w:pStyle w:val="ListParagraph"/>
        <w:spacing w:after="0" w:line="288" w:lineRule="auto"/>
        <w:ind w:left="0"/>
        <w:jc w:val="both"/>
        <w:rPr>
          <w:rFonts w:cs="Times New Roman"/>
          <w:lang w:val="en-US"/>
        </w:rPr>
      </w:pPr>
      <w:r w:rsidRPr="001E33FF">
        <w:rPr>
          <w:rFonts w:cs="Times New Roman"/>
          <w:lang w:val="en-US"/>
        </w:rPr>
        <w:t xml:space="preserve">The structure of Moldovan prosecution bodies, especially of the General Prosecutor’s Office, is not totally logical. Hence, the internal hierarchy thereof and its confusing structure seriously affect the efficiency of the prosecution and independence of prosecutors. On the other hand, the amount of prosecutor work varies significantly in different prosecutor’s office. In the context of the JSRS (intervention area 2.2.6), at the request of the MoJ, the LRCM worked on the </w:t>
      </w:r>
      <w:r w:rsidRPr="001E33FF">
        <w:rPr>
          <w:rFonts w:cs="Times New Roman"/>
          <w:i/>
          <w:lang w:val="en-US"/>
        </w:rPr>
        <w:t xml:space="preserve">Study on </w:t>
      </w:r>
      <w:r w:rsidR="00265905">
        <w:rPr>
          <w:rFonts w:cs="Times New Roman"/>
          <w:i/>
          <w:lang w:val="en-US"/>
        </w:rPr>
        <w:t>optimization/</w:t>
      </w:r>
      <w:r w:rsidRPr="00265905">
        <w:rPr>
          <w:rFonts w:cs="Times New Roman"/>
          <w:i/>
          <w:color w:val="FF0000"/>
          <w:lang w:val="en-US"/>
        </w:rPr>
        <w:t>Streamlining</w:t>
      </w:r>
      <w:r w:rsidRPr="001E33FF">
        <w:rPr>
          <w:rFonts w:cs="Times New Roman"/>
          <w:i/>
          <w:lang w:val="en-US"/>
        </w:rPr>
        <w:t xml:space="preserve"> the Structure of Prosecution Bodies and the Number of Prosecutors in Moldova</w:t>
      </w:r>
      <w:r w:rsidRPr="001E33FF">
        <w:rPr>
          <w:rFonts w:cs="Times New Roman"/>
          <w:lang w:val="en-US"/>
        </w:rPr>
        <w:t xml:space="preserve">. The study comes with recommendations for adjusting the structure of prosecution in view of enhancing its efficiency. Also, the study contains recommendations on the reallocation of prosecutors in each prosecutor’s office in view of ensuring a comparable work amount for all prosecutors in district prosecutor’s offices and at the court of appeal level. The recommendations are based on the experience of other countries, the prosecutor work amount in 2010 to 2012, and on the results of a </w:t>
      </w:r>
      <w:r w:rsidR="00265905">
        <w:rPr>
          <w:rFonts w:cs="Times New Roman"/>
          <w:lang w:val="en-US"/>
        </w:rPr>
        <w:t>survey conducted among prosecutors/</w:t>
      </w:r>
      <w:r w:rsidRPr="00265905">
        <w:rPr>
          <w:rFonts w:cs="Times New Roman"/>
          <w:color w:val="FF0000"/>
          <w:lang w:val="en-US"/>
        </w:rPr>
        <w:t>prosecutor survey</w:t>
      </w:r>
      <w:r w:rsidRPr="001E33FF">
        <w:rPr>
          <w:rFonts w:cs="Times New Roman"/>
          <w:lang w:val="en-US"/>
        </w:rPr>
        <w:t xml:space="preserve">. The study’s recommendations are mainly </w:t>
      </w:r>
      <w:r w:rsidR="004E5CE2">
        <w:rPr>
          <w:rFonts w:cs="Times New Roman"/>
          <w:lang w:val="en-US"/>
        </w:rPr>
        <w:t>addressed to/</w:t>
      </w:r>
      <w:r w:rsidRPr="004E5CE2">
        <w:rPr>
          <w:rFonts w:cs="Times New Roman"/>
          <w:color w:val="FF0000"/>
          <w:lang w:val="en-US"/>
        </w:rPr>
        <w:t>aimed at</w:t>
      </w:r>
      <w:r w:rsidRPr="001E33FF">
        <w:rPr>
          <w:rFonts w:cs="Times New Roman"/>
          <w:lang w:val="en-US"/>
        </w:rPr>
        <w:t xml:space="preserve"> the </w:t>
      </w:r>
      <w:r w:rsidR="004E5CE2" w:rsidRPr="001E33FF">
        <w:rPr>
          <w:rFonts w:cs="Times New Roman"/>
          <w:lang w:val="en-US"/>
        </w:rPr>
        <w:t xml:space="preserve">General </w:t>
      </w:r>
      <w:r w:rsidRPr="001E33FF">
        <w:rPr>
          <w:rFonts w:cs="Times New Roman"/>
          <w:lang w:val="en-US"/>
        </w:rPr>
        <w:t>Prosecutor, the SCP, and the Parliament. The study was launched in 2014.</w:t>
      </w:r>
    </w:p>
    <w:p w:rsidR="00A2383C" w:rsidRPr="001E33FF" w:rsidRDefault="00A2383C" w:rsidP="001369A8">
      <w:pPr>
        <w:pStyle w:val="ListParagraph"/>
        <w:spacing w:after="0" w:line="288" w:lineRule="auto"/>
        <w:ind w:left="0"/>
        <w:jc w:val="both"/>
        <w:rPr>
          <w:rFonts w:cs="Times New Roman"/>
          <w:lang w:val="en-US"/>
        </w:rPr>
      </w:pPr>
    </w:p>
    <w:p w:rsidR="00A2383C" w:rsidRPr="00F548EA" w:rsidRDefault="002762A6" w:rsidP="001369A8">
      <w:pPr>
        <w:pStyle w:val="ListParagraph"/>
        <w:spacing w:after="0" w:line="288" w:lineRule="auto"/>
        <w:ind w:left="0"/>
        <w:jc w:val="both"/>
        <w:rPr>
          <w:rFonts w:cs="Times New Roman"/>
          <w:lang w:val="en-US"/>
        </w:rPr>
      </w:pPr>
      <w:r w:rsidRPr="001E33FF">
        <w:rPr>
          <w:rFonts w:cs="Times New Roman"/>
          <w:lang w:val="en-US"/>
        </w:rPr>
        <w:t xml:space="preserve">In the summer of 2013, the MoJ and the </w:t>
      </w:r>
      <w:r w:rsidR="00B43125" w:rsidRPr="001E33FF">
        <w:rPr>
          <w:rFonts w:cs="Times New Roman"/>
          <w:lang w:val="en-US"/>
        </w:rPr>
        <w:t xml:space="preserve">General </w:t>
      </w:r>
      <w:r w:rsidRPr="001E33FF">
        <w:rPr>
          <w:rFonts w:cs="Times New Roman"/>
          <w:lang w:val="en-US"/>
        </w:rPr>
        <w:t>Prosecutor appointed the President of LRCM as head of the group of experts to develop draft laws on the activities of the prosecution system. The group was made up of foreign experts, MoJ and Prosecution staff, and civil society representatives. The g</w:t>
      </w:r>
      <w:r w:rsidR="00B43125">
        <w:rPr>
          <w:rFonts w:cs="Times New Roman"/>
          <w:lang w:val="en-US"/>
        </w:rPr>
        <w:t>roup had the task to prepare a C</w:t>
      </w:r>
      <w:r w:rsidRPr="001E33FF">
        <w:rPr>
          <w:rFonts w:cs="Times New Roman"/>
          <w:lang w:val="en-US"/>
        </w:rPr>
        <w:t xml:space="preserve">oncept on prosecution reform in accordance with the best European practices and the draft laws on amending the legislation necessary for implementing the concept. The Concept was made public in </w:t>
      </w:r>
      <w:r w:rsidRPr="001E33FF">
        <w:rPr>
          <w:lang w:val="en-US"/>
        </w:rPr>
        <w:t xml:space="preserve">October 2013. It prescribes reducing the involvement of the political factor in the election of the </w:t>
      </w:r>
      <w:r w:rsidR="00B43125" w:rsidRPr="001E33FF">
        <w:rPr>
          <w:lang w:val="en-US"/>
        </w:rPr>
        <w:t xml:space="preserve">General </w:t>
      </w:r>
      <w:r w:rsidRPr="001E33FF">
        <w:rPr>
          <w:lang w:val="en-US"/>
        </w:rPr>
        <w:t xml:space="preserve">Prosecutor; enhancing the independence of prosecutors; </w:t>
      </w:r>
      <w:r w:rsidRPr="00781EBD">
        <w:rPr>
          <w:color w:val="FF0000"/>
          <w:lang w:val="en-US"/>
        </w:rPr>
        <w:t>narrowing down</w:t>
      </w:r>
      <w:r w:rsidRPr="001E33FF">
        <w:rPr>
          <w:lang w:val="en-US"/>
        </w:rPr>
        <w:t xml:space="preserve"> the competences of prosecution in non-criminal areas; strengthening the prosecutor self-administration bodies; and introducing clear and efficient rules for the selection, evaluation, promotion and </w:t>
      </w:r>
      <w:r w:rsidRPr="00781EBD">
        <w:rPr>
          <w:color w:val="FF0000"/>
          <w:lang w:val="en-US"/>
        </w:rPr>
        <w:t>holding prosecutors disciplinarily liable</w:t>
      </w:r>
      <w:r w:rsidRPr="001E33FF">
        <w:rPr>
          <w:lang w:val="en-US"/>
        </w:rPr>
        <w:t>. The draft law for implementing the Concept was completed in November 2013 and was submitted to the members of the Parliament to register it as legislative initiative and adopt it. The implementation of the Concept implies the most serious reformation of the prosecution that has ever happened in Moldova.</w:t>
      </w:r>
    </w:p>
    <w:p w:rsidR="000B5D24" w:rsidRPr="00D2304A" w:rsidRDefault="000B5D24" w:rsidP="001369A8">
      <w:pPr>
        <w:pStyle w:val="ListParagraph"/>
        <w:spacing w:after="0" w:line="288" w:lineRule="auto"/>
        <w:ind w:left="0"/>
        <w:jc w:val="both"/>
        <w:rPr>
          <w:rFonts w:cs="Times New Roman"/>
          <w:b/>
          <w:lang w:val="ro-MO"/>
        </w:rPr>
      </w:pPr>
    </w:p>
    <w:p w:rsidR="001E33FF" w:rsidRPr="001E33FF" w:rsidRDefault="001E33FF" w:rsidP="001E33FF">
      <w:pPr>
        <w:pStyle w:val="ListParagraph"/>
        <w:spacing w:after="0" w:line="288" w:lineRule="auto"/>
        <w:ind w:left="0"/>
        <w:jc w:val="both"/>
        <w:rPr>
          <w:rFonts w:cs="Times New Roman"/>
          <w:b/>
          <w:lang w:val="en-US"/>
        </w:rPr>
      </w:pPr>
      <w:r w:rsidRPr="001E33FF">
        <w:rPr>
          <w:rFonts w:cs="Times New Roman"/>
          <w:b/>
          <w:lang w:val="en-US"/>
        </w:rPr>
        <w:t xml:space="preserve">v. Monitoring the Implementation of the </w:t>
      </w:r>
      <w:r w:rsidRPr="001E33FF">
        <w:rPr>
          <w:rFonts w:eastAsia="SimSun" w:cs="Times New Roman"/>
          <w:b/>
          <w:lang w:val="en-US" w:eastAsia="zh-CN"/>
        </w:rPr>
        <w:t>Justice Sector Reform Strategy</w:t>
      </w:r>
    </w:p>
    <w:p w:rsidR="001E33FF" w:rsidRPr="001E33FF" w:rsidRDefault="001E33FF" w:rsidP="001E33FF">
      <w:pPr>
        <w:pStyle w:val="ListParagraph"/>
        <w:spacing w:after="0" w:line="288" w:lineRule="auto"/>
        <w:ind w:left="0"/>
        <w:jc w:val="both"/>
        <w:rPr>
          <w:rFonts w:cs="Times New Roman"/>
          <w:b/>
          <w:lang w:val="en-US"/>
        </w:rPr>
      </w:pPr>
    </w:p>
    <w:p w:rsidR="00EF7A73" w:rsidRPr="001E33FF" w:rsidRDefault="001E33FF" w:rsidP="001E33FF">
      <w:pPr>
        <w:pStyle w:val="ListParagraph"/>
        <w:spacing w:after="0" w:line="288" w:lineRule="auto"/>
        <w:ind w:left="0"/>
        <w:jc w:val="both"/>
        <w:rPr>
          <w:rFonts w:cs="Times New Roman"/>
          <w:lang w:val="en-US"/>
        </w:rPr>
      </w:pPr>
      <w:r w:rsidRPr="001E33FF">
        <w:rPr>
          <w:rFonts w:cs="Times New Roman"/>
          <w:lang w:val="en-US"/>
        </w:rPr>
        <w:t>The President of the LRCM is member of the National Council for Law Enforcement Bodies Reform</w:t>
      </w:r>
      <w:r w:rsidR="00705E7A" w:rsidRPr="00705E7A">
        <w:rPr>
          <w:rFonts w:cs="Times New Roman"/>
          <w:lang w:val="en-US"/>
        </w:rPr>
        <w:t xml:space="preserve"> </w:t>
      </w:r>
      <w:r w:rsidRPr="001E33FF">
        <w:rPr>
          <w:rFonts w:cs="Times New Roman"/>
          <w:lang w:val="en-US"/>
        </w:rPr>
        <w:t>–</w:t>
      </w:r>
      <w:r w:rsidR="00705E7A" w:rsidRPr="00705E7A">
        <w:rPr>
          <w:rFonts w:cs="Times New Roman"/>
          <w:lang w:val="en-US"/>
        </w:rPr>
        <w:t xml:space="preserve"> </w:t>
      </w:r>
      <w:r w:rsidRPr="001E33FF">
        <w:rPr>
          <w:rFonts w:cs="Times New Roman"/>
          <w:lang w:val="en-US"/>
        </w:rPr>
        <w:t xml:space="preserve">the highest body responsible for monitoring the implementation of the JSRS. The LRCM representatives are members of the working groups monitoring the JSRS in the implementation of Pillars I (Court System), II </w:t>
      </w:r>
      <w:r w:rsidRPr="001E33FF">
        <w:rPr>
          <w:rFonts w:cs="Times New Roman"/>
          <w:lang w:val="en-US"/>
        </w:rPr>
        <w:lastRenderedPageBreak/>
        <w:t xml:space="preserve">(Criminal Justice), III (Access to Justice and </w:t>
      </w:r>
      <w:r w:rsidRPr="00705E7A">
        <w:rPr>
          <w:rFonts w:cs="Times New Roman"/>
          <w:color w:val="FF0000"/>
          <w:lang w:val="en-US"/>
        </w:rPr>
        <w:t>Enforcement</w:t>
      </w:r>
      <w:r w:rsidRPr="001E33FF">
        <w:rPr>
          <w:rFonts w:cs="Times New Roman"/>
          <w:lang w:val="en-US"/>
        </w:rPr>
        <w:t xml:space="preserve"> of Court Judgments) and IV (Observance of Human Rights in the Justice Sector). In 2013, the LRCM representatives participated in over 20 meetings of the monitoring groups. The participation in such meetings contributes to better informing of the LRCM about the unfolding of reforms. Also, within the monitoring groups, the members can express their opinions about the problems in the implementation of the JSRS.</w:t>
      </w:r>
    </w:p>
    <w:p w:rsidR="00A263FD" w:rsidRDefault="00A263FD" w:rsidP="001369A8">
      <w:pPr>
        <w:pStyle w:val="ListParagraph"/>
        <w:spacing w:after="0" w:line="288" w:lineRule="auto"/>
        <w:ind w:left="0"/>
        <w:jc w:val="both"/>
        <w:rPr>
          <w:rFonts w:cs="Times New Roman"/>
          <w:lang w:val="ro-MO"/>
        </w:rPr>
      </w:pPr>
    </w:p>
    <w:p w:rsidR="00550F30" w:rsidRPr="00AB77BB" w:rsidRDefault="00550F30" w:rsidP="00550F30">
      <w:pPr>
        <w:pStyle w:val="ListParagraph"/>
        <w:spacing w:after="0" w:line="288" w:lineRule="auto"/>
        <w:ind w:left="0"/>
        <w:jc w:val="both"/>
        <w:rPr>
          <w:rFonts w:cs="Times New Roman"/>
          <w:b/>
        </w:rPr>
      </w:pPr>
      <w:r w:rsidRPr="00AB77BB">
        <w:rPr>
          <w:rFonts w:cs="Times New Roman"/>
          <w:b/>
        </w:rPr>
        <w:t xml:space="preserve">vi. </w:t>
      </w:r>
      <w:r w:rsidRPr="00D9034E">
        <w:rPr>
          <w:rFonts w:cs="Times New Roman"/>
          <w:b/>
          <w:lang w:val="en-US"/>
        </w:rPr>
        <w:t xml:space="preserve">Selection of </w:t>
      </w:r>
      <w:r w:rsidR="00D9034E" w:rsidRPr="00D9034E">
        <w:rPr>
          <w:rFonts w:cs="Times New Roman"/>
          <w:b/>
          <w:lang w:val="en-US"/>
        </w:rPr>
        <w:t xml:space="preserve">Superior Council of Magistracy </w:t>
      </w:r>
      <w:r w:rsidRPr="00D9034E">
        <w:rPr>
          <w:rFonts w:cs="Times New Roman"/>
          <w:b/>
          <w:lang w:val="en-US"/>
        </w:rPr>
        <w:t xml:space="preserve">and </w:t>
      </w:r>
      <w:r w:rsidR="00D9034E" w:rsidRPr="00D9034E">
        <w:rPr>
          <w:rFonts w:cs="Times New Roman"/>
          <w:b/>
          <w:lang w:val="en-US"/>
        </w:rPr>
        <w:t>Superior Council of Prosecutors</w:t>
      </w:r>
      <w:r w:rsidRPr="00D9034E">
        <w:rPr>
          <w:rFonts w:cs="Times New Roman"/>
          <w:b/>
          <w:lang w:val="en-US"/>
        </w:rPr>
        <w:t xml:space="preserve"> Members</w:t>
      </w:r>
    </w:p>
    <w:p w:rsidR="00550F30" w:rsidRPr="00550F30" w:rsidRDefault="00550F30" w:rsidP="001369A8">
      <w:pPr>
        <w:pStyle w:val="ListParagraph"/>
        <w:spacing w:after="0" w:line="288" w:lineRule="auto"/>
        <w:ind w:left="0"/>
        <w:jc w:val="both"/>
        <w:rPr>
          <w:rFonts w:cs="Times New Roman"/>
        </w:rPr>
      </w:pPr>
    </w:p>
    <w:p w:rsidR="007549CB" w:rsidRPr="00D9034E" w:rsidRDefault="00D9034E" w:rsidP="001369A8">
      <w:pPr>
        <w:spacing w:after="0" w:line="288" w:lineRule="auto"/>
        <w:jc w:val="both"/>
        <w:rPr>
          <w:rFonts w:cs="Times New Roman"/>
          <w:lang w:val="en-US"/>
        </w:rPr>
      </w:pPr>
      <w:r w:rsidRPr="00D9034E">
        <w:rPr>
          <w:rFonts w:cs="Times New Roman"/>
          <w:lang w:val="en-US"/>
        </w:rPr>
        <w:t xml:space="preserve">The SCM and SCP are made up of 12 members each. Three members of the SCM and three of the SCP are appointed by the Parliament from among law professors. The law was not stipulating that their selection should be transparent and fair. The mandate of the SCM and SCP members is 4 years. The mandates of SCM members expired in 2013 and those of the SCP members – </w:t>
      </w:r>
      <w:r w:rsidR="00705E7A">
        <w:rPr>
          <w:rFonts w:cs="Times New Roman"/>
          <w:lang w:val="en-US"/>
        </w:rPr>
        <w:t>at the beginning of/</w:t>
      </w:r>
      <w:r w:rsidRPr="00705E7A">
        <w:rPr>
          <w:rFonts w:cs="Times New Roman"/>
          <w:color w:val="FF0000"/>
          <w:lang w:val="en-US"/>
        </w:rPr>
        <w:t>in</w:t>
      </w:r>
      <w:r w:rsidRPr="00D9034E">
        <w:rPr>
          <w:rFonts w:cs="Times New Roman"/>
          <w:lang w:val="en-US"/>
        </w:rPr>
        <w:t xml:space="preserve"> 2014. The LRCM started an </w:t>
      </w:r>
      <w:commentRangeStart w:id="10"/>
      <w:r w:rsidRPr="00D9034E">
        <w:rPr>
          <w:rFonts w:cs="Times New Roman"/>
          <w:lang w:val="en-US"/>
        </w:rPr>
        <w:t>advocacy campaign</w:t>
      </w:r>
      <w:commentRangeEnd w:id="10"/>
      <w:r>
        <w:rPr>
          <w:rStyle w:val="CommentReference"/>
        </w:rPr>
        <w:commentReference w:id="10"/>
      </w:r>
      <w:r w:rsidRPr="00D9034E">
        <w:rPr>
          <w:rFonts w:cs="Times New Roman"/>
          <w:lang w:val="en-US"/>
        </w:rPr>
        <w:t xml:space="preserve"> aimed at ensuring the transparent and fair character of the selection of the SCM members. As a result, on </w:t>
      </w:r>
      <w:r w:rsidRPr="00D9034E">
        <w:rPr>
          <w:rFonts w:cs="Times New Roman"/>
          <w:bCs/>
          <w:lang w:val="en-US"/>
        </w:rPr>
        <w:t>21 November 2013, the Parliament amended the Law on the SCM and the Law on Prosecution in the sense of having SCM and SCP members selected by the Parliament based on a public co</w:t>
      </w:r>
      <w:r w:rsidR="00212A8D">
        <w:rPr>
          <w:rFonts w:cs="Times New Roman"/>
          <w:bCs/>
          <w:lang w:val="en-US"/>
        </w:rPr>
        <w:t xml:space="preserve">mpetition </w:t>
      </w:r>
      <w:r w:rsidRPr="00D9034E">
        <w:rPr>
          <w:rFonts w:cs="Times New Roman"/>
          <w:bCs/>
          <w:lang w:val="en-US"/>
        </w:rPr>
        <w:t xml:space="preserve">to be organized in an open and transparent manner. This campaign was supported by over </w:t>
      </w:r>
      <w:r w:rsidRPr="00D9034E">
        <w:rPr>
          <w:rFonts w:cs="Times New Roman"/>
          <w:lang w:val="en-US"/>
        </w:rPr>
        <w:t>20 Moldovan nongovernmental organizations and law experts of Moldova.</w:t>
      </w:r>
    </w:p>
    <w:p w:rsidR="00D9034E" w:rsidRPr="001A022E" w:rsidRDefault="00D9034E" w:rsidP="001369A8">
      <w:pPr>
        <w:spacing w:after="0" w:line="288" w:lineRule="auto"/>
        <w:jc w:val="both"/>
        <w:rPr>
          <w:rFonts w:cs="Times New Roman"/>
          <w:lang w:val="en-US"/>
        </w:rPr>
      </w:pPr>
    </w:p>
    <w:p w:rsidR="003607FA" w:rsidRPr="001A022E" w:rsidRDefault="001A022E" w:rsidP="001369A8">
      <w:pPr>
        <w:spacing w:after="0" w:line="288" w:lineRule="auto"/>
        <w:jc w:val="both"/>
        <w:rPr>
          <w:rFonts w:cs="Times New Roman"/>
          <w:lang w:val="en-US"/>
        </w:rPr>
      </w:pPr>
      <w:r w:rsidRPr="001A022E">
        <w:rPr>
          <w:rFonts w:cs="Times New Roman"/>
          <w:lang w:val="en-US"/>
        </w:rPr>
        <w:t xml:space="preserve">In 2013, four of the 6 judge </w:t>
      </w:r>
      <w:r w:rsidR="00F244E1">
        <w:rPr>
          <w:rFonts w:cs="Times New Roman"/>
          <w:lang w:val="en-US"/>
        </w:rPr>
        <w:t>positions/</w:t>
      </w:r>
      <w:r w:rsidRPr="00F244E1">
        <w:rPr>
          <w:rFonts w:cs="Times New Roman"/>
          <w:color w:val="FF0000"/>
          <w:lang w:val="en-US"/>
        </w:rPr>
        <w:t>offices</w:t>
      </w:r>
      <w:r w:rsidRPr="001A022E">
        <w:rPr>
          <w:rFonts w:cs="Times New Roman"/>
          <w:lang w:val="en-US"/>
        </w:rPr>
        <w:t xml:space="preserve"> at the CC became vacant. Two vacancies were to be filled in by the SCM and two – by the Parliament. The LRCM, together with other </w:t>
      </w:r>
      <w:r w:rsidR="00B6550F">
        <w:rPr>
          <w:rFonts w:cs="Times New Roman"/>
          <w:lang w:val="en-US"/>
        </w:rPr>
        <w:t>about/</w:t>
      </w:r>
      <w:r w:rsidRPr="00B6550F">
        <w:rPr>
          <w:rFonts w:cs="Times New Roman"/>
          <w:color w:val="FF0000"/>
          <w:lang w:val="en-US"/>
        </w:rPr>
        <w:t>circa</w:t>
      </w:r>
      <w:r w:rsidRPr="001A022E">
        <w:rPr>
          <w:rFonts w:cs="Times New Roman"/>
          <w:lang w:val="en-US"/>
        </w:rPr>
        <w:t xml:space="preserve"> 20 NGOs and experts, started a campaign to request the SCM and the Parliament to organize transparent co</w:t>
      </w:r>
      <w:r w:rsidR="0005698E">
        <w:rPr>
          <w:rFonts w:cs="Times New Roman"/>
          <w:lang w:val="en-US"/>
        </w:rPr>
        <w:t>mpetition</w:t>
      </w:r>
      <w:r w:rsidRPr="001A022E">
        <w:rPr>
          <w:rFonts w:cs="Times New Roman"/>
          <w:lang w:val="en-US"/>
        </w:rPr>
        <w:t xml:space="preserve"> and pass reasoned decisions on the selection of CC judges. The SCM was the only public institution that responded to the civil society recommendations and organized a co</w:t>
      </w:r>
      <w:r w:rsidR="0005698E">
        <w:rPr>
          <w:rFonts w:cs="Times New Roman"/>
          <w:lang w:val="en-US"/>
        </w:rPr>
        <w:t>mpetition</w:t>
      </w:r>
      <w:r w:rsidRPr="001A022E">
        <w:rPr>
          <w:rFonts w:cs="Times New Roman"/>
          <w:lang w:val="en-US"/>
        </w:rPr>
        <w:t xml:space="preserve"> for the appointment of a CC judge. </w:t>
      </w:r>
      <w:r w:rsidRPr="001A022E">
        <w:rPr>
          <w:rFonts w:ascii="Tahoma" w:hAnsi="Tahoma" w:cs="Tahoma"/>
          <w:color w:val="000000"/>
          <w:sz w:val="20"/>
          <w:szCs w:val="20"/>
          <w:lang w:val="en-US"/>
        </w:rPr>
        <w:t xml:space="preserve">Unfortunately, the same cannot be said about the Parliament, which neglected the </w:t>
      </w:r>
      <w:r w:rsidRPr="001A022E">
        <w:rPr>
          <w:rFonts w:cs="Times New Roman"/>
          <w:lang w:val="en-US"/>
        </w:rPr>
        <w:t>LRCM campaign and appointed the two judges without a co</w:t>
      </w:r>
      <w:r w:rsidR="00881600">
        <w:rPr>
          <w:rFonts w:cs="Times New Roman"/>
          <w:lang w:val="en-US"/>
        </w:rPr>
        <w:t>mpetition</w:t>
      </w:r>
      <w:r w:rsidRPr="001A022E">
        <w:rPr>
          <w:rFonts w:cs="Times New Roman"/>
          <w:lang w:val="en-US"/>
        </w:rPr>
        <w:t xml:space="preserve"> or transparency.</w:t>
      </w:r>
      <w:r w:rsidR="00C52E69" w:rsidRPr="001A022E">
        <w:rPr>
          <w:rFonts w:cs="Times New Roman"/>
          <w:lang w:val="en-US"/>
        </w:rPr>
        <w:t xml:space="preserve">  </w:t>
      </w:r>
    </w:p>
    <w:p w:rsidR="00866EA4" w:rsidRPr="00D2304A" w:rsidRDefault="00866EA4" w:rsidP="001369A8">
      <w:pPr>
        <w:spacing w:after="0" w:line="288" w:lineRule="auto"/>
        <w:jc w:val="both"/>
        <w:rPr>
          <w:rFonts w:cs="Times New Roman"/>
          <w:bCs/>
          <w:lang w:val="ro-MO"/>
        </w:rPr>
      </w:pPr>
    </w:p>
    <w:p w:rsidR="001369A8" w:rsidRPr="00D2304A" w:rsidRDefault="001369A8" w:rsidP="001369A8">
      <w:pPr>
        <w:spacing w:after="0" w:line="288" w:lineRule="auto"/>
        <w:jc w:val="both"/>
        <w:rPr>
          <w:rFonts w:cs="Times New Roman"/>
          <w:bCs/>
          <w:lang w:val="ro-MO"/>
        </w:rPr>
      </w:pPr>
    </w:p>
    <w:p w:rsidR="00327FD1" w:rsidRDefault="00327FD1" w:rsidP="00327FD1">
      <w:pPr>
        <w:spacing w:after="0" w:line="288" w:lineRule="auto"/>
        <w:jc w:val="both"/>
        <w:rPr>
          <w:rFonts w:cs="Times New Roman"/>
          <w:b/>
          <w:bCs/>
        </w:rPr>
      </w:pPr>
      <w:r>
        <w:rPr>
          <w:rFonts w:cs="Times New Roman"/>
          <w:b/>
          <w:bCs/>
        </w:rPr>
        <w:t xml:space="preserve">ALIGNING MOLDOVAN LEGISLATION AND PRACTICES TO INTERNATIONAL HUMAN RIGHTS STANDARDS </w:t>
      </w:r>
    </w:p>
    <w:p w:rsidR="00327FD1" w:rsidRPr="00AB77BB" w:rsidRDefault="00327FD1" w:rsidP="00327FD1">
      <w:pPr>
        <w:spacing w:after="0" w:line="288" w:lineRule="auto"/>
        <w:jc w:val="both"/>
        <w:rPr>
          <w:rFonts w:cs="Times New Roman"/>
          <w:b/>
          <w:bCs/>
        </w:rPr>
      </w:pPr>
    </w:p>
    <w:p w:rsidR="00327FD1" w:rsidRPr="00327FD1" w:rsidRDefault="00327FD1" w:rsidP="00327FD1">
      <w:pPr>
        <w:spacing w:after="0" w:line="288" w:lineRule="auto"/>
        <w:jc w:val="both"/>
        <w:rPr>
          <w:rFonts w:cs="Times New Roman"/>
          <w:b/>
          <w:bCs/>
          <w:lang w:val="en-US"/>
        </w:rPr>
      </w:pPr>
      <w:r w:rsidRPr="00327FD1">
        <w:rPr>
          <w:rFonts w:cs="Times New Roman"/>
          <w:b/>
          <w:bCs/>
          <w:lang w:val="en-US"/>
        </w:rPr>
        <w:t>i. European Convention on Human Rights</w:t>
      </w:r>
    </w:p>
    <w:p w:rsidR="0069296A" w:rsidRPr="00327FD1" w:rsidRDefault="0069296A" w:rsidP="001369A8">
      <w:pPr>
        <w:spacing w:after="0" w:line="288" w:lineRule="auto"/>
        <w:jc w:val="both"/>
        <w:rPr>
          <w:rFonts w:cs="Times New Roman"/>
          <w:bCs/>
          <w:lang w:val="en-US"/>
        </w:rPr>
      </w:pPr>
    </w:p>
    <w:p w:rsidR="00327FD1" w:rsidRPr="00327FD1" w:rsidRDefault="00327FD1" w:rsidP="001369A8">
      <w:pPr>
        <w:spacing w:after="0" w:line="288" w:lineRule="auto"/>
        <w:jc w:val="both"/>
        <w:rPr>
          <w:rFonts w:cs="Times New Roman"/>
          <w:bCs/>
          <w:lang w:val="en-US"/>
        </w:rPr>
      </w:pPr>
      <w:r w:rsidRPr="00327FD1">
        <w:rPr>
          <w:rFonts w:cs="Times New Roman"/>
          <w:bCs/>
          <w:lang w:val="en-US"/>
        </w:rPr>
        <w:t xml:space="preserve">As a result of the report prepared by the </w:t>
      </w:r>
      <w:r w:rsidRPr="00327FD1">
        <w:rPr>
          <w:rFonts w:cs="Times New Roman"/>
          <w:lang w:val="en-US"/>
        </w:rPr>
        <w:t xml:space="preserve">LRCM </w:t>
      </w:r>
      <w:r w:rsidRPr="00327FD1">
        <w:rPr>
          <w:rFonts w:cs="Times New Roman"/>
          <w:bCs/>
          <w:lang w:val="en-US"/>
        </w:rPr>
        <w:t xml:space="preserve">in 2012 on the enforcement of </w:t>
      </w:r>
      <w:r w:rsidRPr="00327FD1">
        <w:rPr>
          <w:lang w:val="en-US"/>
        </w:rPr>
        <w:t xml:space="preserve">ECtHR judgments </w:t>
      </w:r>
      <w:r w:rsidRPr="00327FD1">
        <w:rPr>
          <w:rFonts w:cs="Times New Roman"/>
          <w:bCs/>
          <w:lang w:val="en-US"/>
        </w:rPr>
        <w:t xml:space="preserve">by Moldova, the main efforts of the </w:t>
      </w:r>
      <w:r w:rsidRPr="00327FD1">
        <w:rPr>
          <w:rFonts w:cs="Times New Roman"/>
          <w:lang w:val="en-US"/>
        </w:rPr>
        <w:t xml:space="preserve">LRCM </w:t>
      </w:r>
      <w:r w:rsidRPr="00327FD1">
        <w:rPr>
          <w:rFonts w:cs="Times New Roman"/>
          <w:bCs/>
          <w:lang w:val="en-US"/>
        </w:rPr>
        <w:t>in this area in 2013</w:t>
      </w:r>
      <w:r w:rsidR="00050E41">
        <w:rPr>
          <w:rFonts w:cs="Times New Roman"/>
          <w:bCs/>
          <w:lang w:val="en-US"/>
        </w:rPr>
        <w:t xml:space="preserve"> </w:t>
      </w:r>
      <w:r w:rsidRPr="00327FD1">
        <w:rPr>
          <w:rFonts w:cs="Times New Roman"/>
          <w:bCs/>
          <w:lang w:val="en-US"/>
        </w:rPr>
        <w:t xml:space="preserve">were focused on strengthening the national mechanism for enforcing the </w:t>
      </w:r>
      <w:r w:rsidRPr="00327FD1">
        <w:rPr>
          <w:lang w:val="en-US"/>
        </w:rPr>
        <w:t>ECtHR judgments</w:t>
      </w:r>
      <w:r w:rsidRPr="00327FD1">
        <w:rPr>
          <w:rFonts w:cs="Times New Roman"/>
          <w:bCs/>
          <w:lang w:val="en-US"/>
        </w:rPr>
        <w:t xml:space="preserve">. As a result of the efforts made by the </w:t>
      </w:r>
      <w:r w:rsidRPr="00327FD1">
        <w:rPr>
          <w:rFonts w:cs="Times New Roman"/>
          <w:lang w:val="en-US"/>
        </w:rPr>
        <w:t xml:space="preserve">LRCM </w:t>
      </w:r>
      <w:r w:rsidRPr="00327FD1">
        <w:rPr>
          <w:rFonts w:cs="Times New Roman"/>
          <w:bCs/>
          <w:lang w:val="en-US"/>
        </w:rPr>
        <w:t xml:space="preserve">and the disposition issued by the Deputy Speaker of the Parliament </w:t>
      </w:r>
      <w:r w:rsidR="00050E41">
        <w:rPr>
          <w:rFonts w:cs="Times New Roman"/>
          <w:bCs/>
          <w:lang w:val="en-US"/>
        </w:rPr>
        <w:t xml:space="preserve">Mrs </w:t>
      </w:r>
      <w:r w:rsidRPr="00327FD1">
        <w:rPr>
          <w:rFonts w:cs="Times New Roman"/>
          <w:bCs/>
          <w:lang w:val="en-US"/>
        </w:rPr>
        <w:t xml:space="preserve">Liliana PALIHOVICI, </w:t>
      </w:r>
      <w:r w:rsidR="00AF353F" w:rsidRPr="00327FD1">
        <w:rPr>
          <w:rFonts w:cs="Times New Roman"/>
          <w:bCs/>
          <w:lang w:val="en-US"/>
        </w:rPr>
        <w:t xml:space="preserve">was created </w:t>
      </w:r>
      <w:r w:rsidRPr="00327FD1">
        <w:rPr>
          <w:rFonts w:cs="Times New Roman"/>
          <w:bCs/>
          <w:lang w:val="en-US"/>
        </w:rPr>
        <w:t xml:space="preserve">a working group </w:t>
      </w:r>
      <w:r w:rsidR="00AF353F">
        <w:rPr>
          <w:rFonts w:cs="Times New Roman"/>
          <w:bCs/>
          <w:lang w:val="en-US"/>
        </w:rPr>
        <w:t xml:space="preserve">composed </w:t>
      </w:r>
      <w:r w:rsidRPr="00327FD1">
        <w:rPr>
          <w:rFonts w:cs="Times New Roman"/>
          <w:bCs/>
          <w:lang w:val="en-US"/>
        </w:rPr>
        <w:t xml:space="preserve">of the representatives of the Parliament administration, MoJ, Ministry of Foreign Affairs and European Integration, and </w:t>
      </w:r>
      <w:r w:rsidRPr="00327FD1">
        <w:rPr>
          <w:rFonts w:cs="Times New Roman"/>
          <w:lang w:val="en-US"/>
        </w:rPr>
        <w:t>LRCM</w:t>
      </w:r>
      <w:r w:rsidRPr="00327FD1">
        <w:rPr>
          <w:rFonts w:cs="Times New Roman"/>
          <w:bCs/>
          <w:lang w:val="en-US"/>
        </w:rPr>
        <w:t xml:space="preserve">. The working group had the task to prepare the necessary draft legal acts for improving the national mechanism for enforcing the </w:t>
      </w:r>
      <w:r w:rsidRPr="00327FD1">
        <w:rPr>
          <w:lang w:val="en-US"/>
        </w:rPr>
        <w:t xml:space="preserve">ECtHR judgments and for parliamentary oversight of the implementation of such judgments. In November </w:t>
      </w:r>
      <w:r w:rsidRPr="00327FD1">
        <w:rPr>
          <w:rFonts w:cs="Times New Roman"/>
          <w:bCs/>
          <w:lang w:val="en-US"/>
        </w:rPr>
        <w:t>2013, the</w:t>
      </w:r>
      <w:r w:rsidR="00AF353F">
        <w:rPr>
          <w:rFonts w:cs="Times New Roman"/>
          <w:bCs/>
          <w:lang w:val="en-US"/>
        </w:rPr>
        <w:t xml:space="preserve"> working group completed a new D</w:t>
      </w:r>
      <w:r w:rsidRPr="00327FD1">
        <w:rPr>
          <w:rFonts w:cs="Times New Roman"/>
          <w:bCs/>
          <w:lang w:val="en-US"/>
        </w:rPr>
        <w:t xml:space="preserve">raft law on the government agent. </w:t>
      </w:r>
      <w:commentRangeStart w:id="11"/>
      <w:r w:rsidRPr="00327FD1">
        <w:rPr>
          <w:rFonts w:cs="Times New Roman"/>
          <w:bCs/>
          <w:lang w:val="en-US"/>
        </w:rPr>
        <w:t>T</w:t>
      </w:r>
      <w:r w:rsidR="004F066E">
        <w:rPr>
          <w:rFonts w:cs="Times New Roman"/>
          <w:bCs/>
          <w:lang w:val="en-US"/>
        </w:rPr>
        <w:t>he D</w:t>
      </w:r>
      <w:r w:rsidRPr="00327FD1">
        <w:rPr>
          <w:rFonts w:cs="Times New Roman"/>
          <w:bCs/>
          <w:lang w:val="en-US"/>
        </w:rPr>
        <w:t xml:space="preserve">raft law introduces clear competences related to the enforcement of </w:t>
      </w:r>
      <w:r w:rsidRPr="00327FD1">
        <w:rPr>
          <w:lang w:val="en-US"/>
        </w:rPr>
        <w:t>ECtHR judgments</w:t>
      </w:r>
      <w:r w:rsidRPr="00327FD1">
        <w:rPr>
          <w:rFonts w:cs="Times New Roman"/>
          <w:bCs/>
          <w:lang w:val="en-US"/>
        </w:rPr>
        <w:t>.</w:t>
      </w:r>
      <w:commentRangeEnd w:id="11"/>
      <w:r>
        <w:rPr>
          <w:rStyle w:val="CommentReference"/>
        </w:rPr>
        <w:commentReference w:id="11"/>
      </w:r>
      <w:r w:rsidRPr="00327FD1">
        <w:rPr>
          <w:rFonts w:cs="Times New Roman"/>
          <w:bCs/>
          <w:lang w:val="en-US"/>
        </w:rPr>
        <w:t xml:space="preserve"> The working group also prepared a draft parliamentary decision on the parliamentary oversight of the enforcement of </w:t>
      </w:r>
      <w:r w:rsidRPr="00327FD1">
        <w:rPr>
          <w:lang w:val="en-US"/>
        </w:rPr>
        <w:t xml:space="preserve">ECtHR judgments. The latter draft establishes the right of the Parliament to propose general measures and to request periodically information from the authorities on the enforcement of ECtHR judgments </w:t>
      </w:r>
      <w:r w:rsidRPr="00327FD1">
        <w:rPr>
          <w:rFonts w:cs="Times New Roman"/>
          <w:bCs/>
          <w:lang w:val="en-US"/>
        </w:rPr>
        <w:t xml:space="preserve">as well as the obligation to organize annual public hearings in the </w:t>
      </w:r>
      <w:r w:rsidRPr="00327FD1">
        <w:rPr>
          <w:rFonts w:cs="Times New Roman"/>
          <w:bCs/>
          <w:lang w:val="en-US"/>
        </w:rPr>
        <w:lastRenderedPageBreak/>
        <w:t>Parliament on this subject. According to the estimations, these drafts will be voted in the Parliament in spring 2014.</w:t>
      </w:r>
    </w:p>
    <w:p w:rsidR="00327FD1" w:rsidRDefault="00327FD1" w:rsidP="001369A8">
      <w:pPr>
        <w:spacing w:after="0" w:line="288" w:lineRule="auto"/>
        <w:jc w:val="both"/>
        <w:rPr>
          <w:rFonts w:cs="Times New Roman"/>
          <w:bCs/>
          <w:lang w:val="ro-MO"/>
        </w:rPr>
      </w:pPr>
    </w:p>
    <w:p w:rsidR="007B3507" w:rsidRPr="007B3507" w:rsidRDefault="007B3507" w:rsidP="007B3507">
      <w:pPr>
        <w:spacing w:after="0" w:line="288" w:lineRule="auto"/>
        <w:jc w:val="both"/>
        <w:rPr>
          <w:rFonts w:cs="Times New Roman"/>
          <w:bCs/>
          <w:lang w:val="en-US"/>
        </w:rPr>
      </w:pPr>
      <w:r w:rsidRPr="007B3507">
        <w:rPr>
          <w:rFonts w:cs="Times New Roman"/>
          <w:bCs/>
          <w:lang w:val="en-US"/>
        </w:rPr>
        <w:t xml:space="preserve">In February 2013, the LRCM made public an </w:t>
      </w:r>
      <w:hyperlink r:id="rId18" w:history="1">
        <w:r w:rsidRPr="007B3507">
          <w:rPr>
            <w:rStyle w:val="Hyperlink"/>
            <w:rFonts w:cs="Times New Roman"/>
            <w:bCs/>
            <w:lang w:val="en-US"/>
          </w:rPr>
          <w:t xml:space="preserve">analytical </w:t>
        </w:r>
        <w:r w:rsidRPr="007B3507">
          <w:rPr>
            <w:rStyle w:val="Hyperlink"/>
            <w:rFonts w:cs="Times New Roman"/>
            <w:bCs/>
            <w:color w:val="FF0000"/>
            <w:lang w:val="en-US"/>
          </w:rPr>
          <w:t>paper</w:t>
        </w:r>
        <w:r w:rsidRPr="007B3507">
          <w:rPr>
            <w:rStyle w:val="Hyperlink"/>
            <w:rFonts w:cs="Times New Roman"/>
            <w:bCs/>
            <w:lang w:val="en-US"/>
          </w:rPr>
          <w:t xml:space="preserve"> on the Moldovan cases at the ECtHR in 2012</w:t>
        </w:r>
      </w:hyperlink>
      <w:r w:rsidRPr="007B3507">
        <w:rPr>
          <w:rFonts w:cs="Times New Roman"/>
          <w:bCs/>
          <w:lang w:val="en-US"/>
        </w:rPr>
        <w:t xml:space="preserve">. The </w:t>
      </w:r>
      <w:r w:rsidRPr="00CE0D4F">
        <w:rPr>
          <w:rFonts w:cs="Times New Roman"/>
          <w:bCs/>
          <w:color w:val="FF0000"/>
          <w:lang w:val="en-US"/>
        </w:rPr>
        <w:t>paper</w:t>
      </w:r>
      <w:r w:rsidRPr="007B3507">
        <w:rPr>
          <w:rFonts w:cs="Times New Roman"/>
          <w:bCs/>
          <w:lang w:val="en-US"/>
        </w:rPr>
        <w:t xml:space="preserve"> analyzes the statistics from the ECtHR 2012 Activity Report and presents a synthesis of all the judgments made by the ECtHR in Moldovan cases in 2012. This </w:t>
      </w:r>
      <w:r w:rsidRPr="00CE0D4F">
        <w:rPr>
          <w:rFonts w:cs="Times New Roman"/>
          <w:bCs/>
          <w:color w:val="FF0000"/>
          <w:lang w:val="en-US"/>
        </w:rPr>
        <w:t>paper</w:t>
      </w:r>
      <w:r w:rsidRPr="007B3507">
        <w:rPr>
          <w:rFonts w:cs="Times New Roman"/>
          <w:bCs/>
          <w:lang w:val="en-US"/>
        </w:rPr>
        <w:t xml:space="preserve"> was issued in view of enhancing the level of information of the society in general and of lawyers in particular about the ECtHR work. </w:t>
      </w:r>
      <w:r w:rsidRPr="007B3507">
        <w:rPr>
          <w:rFonts w:cs="Times New Roman"/>
          <w:color w:val="000000"/>
          <w:shd w:val="clear" w:color="auto" w:fill="FFFFFF"/>
          <w:lang w:val="en-US"/>
        </w:rPr>
        <w:t xml:space="preserve">Similar </w:t>
      </w:r>
      <w:r w:rsidRPr="00CE0D4F">
        <w:rPr>
          <w:rFonts w:cs="Times New Roman"/>
          <w:color w:val="FF0000"/>
          <w:shd w:val="clear" w:color="auto" w:fill="FFFFFF"/>
          <w:lang w:val="en-US"/>
        </w:rPr>
        <w:t>papers</w:t>
      </w:r>
      <w:r w:rsidRPr="007B3507">
        <w:rPr>
          <w:rFonts w:cs="Times New Roman"/>
          <w:color w:val="000000"/>
          <w:shd w:val="clear" w:color="auto" w:fill="FFFFFF"/>
          <w:lang w:val="en-US"/>
        </w:rPr>
        <w:t xml:space="preserve"> were issued for 2010 and 2011.</w:t>
      </w:r>
    </w:p>
    <w:p w:rsidR="007B3507" w:rsidRPr="005E50BA" w:rsidRDefault="007B3507" w:rsidP="001369A8">
      <w:pPr>
        <w:spacing w:after="0" w:line="288" w:lineRule="auto"/>
        <w:jc w:val="both"/>
        <w:rPr>
          <w:rFonts w:cs="Times New Roman"/>
          <w:bCs/>
          <w:lang w:val="en-US"/>
        </w:rPr>
      </w:pPr>
    </w:p>
    <w:p w:rsidR="005E50BA" w:rsidRPr="005E50BA" w:rsidRDefault="005E50BA" w:rsidP="001369A8">
      <w:pPr>
        <w:spacing w:after="0" w:line="288" w:lineRule="auto"/>
        <w:jc w:val="both"/>
        <w:rPr>
          <w:rFonts w:cs="Times New Roman"/>
          <w:color w:val="000000"/>
          <w:shd w:val="clear" w:color="auto" w:fill="FFFFFF"/>
          <w:lang w:val="en-US"/>
        </w:rPr>
      </w:pPr>
      <w:r w:rsidRPr="005E50BA">
        <w:rPr>
          <w:rFonts w:cs="Times New Roman"/>
          <w:bCs/>
          <w:lang w:val="en-US"/>
        </w:rPr>
        <w:t xml:space="preserve">In August 2013, the LRCM made public an </w:t>
      </w:r>
      <w:hyperlink r:id="rId19" w:history="1">
        <w:r w:rsidRPr="005E50BA">
          <w:rPr>
            <w:rStyle w:val="Hyperlink"/>
            <w:rFonts w:cs="Times New Roman"/>
            <w:bCs/>
            <w:lang w:val="en-US"/>
          </w:rPr>
          <w:t xml:space="preserve">informative </w:t>
        </w:r>
        <w:r w:rsidRPr="00D463D1">
          <w:rPr>
            <w:rStyle w:val="Hyperlink"/>
            <w:rFonts w:cs="Times New Roman"/>
            <w:bCs/>
            <w:color w:val="FF0000"/>
            <w:lang w:val="en-US"/>
          </w:rPr>
          <w:t>paper</w:t>
        </w:r>
        <w:r w:rsidRPr="005E50BA">
          <w:rPr>
            <w:rStyle w:val="Hyperlink"/>
            <w:rFonts w:cs="Times New Roman"/>
            <w:bCs/>
            <w:lang w:val="en-US"/>
          </w:rPr>
          <w:t xml:space="preserve"> on guiding principles of the ECtHR when deciding on moral damages</w:t>
        </w:r>
      </w:hyperlink>
      <w:r w:rsidRPr="005E50BA">
        <w:rPr>
          <w:rFonts w:cs="Times New Roman"/>
          <w:color w:val="000000"/>
          <w:shd w:val="clear" w:color="auto" w:fill="FFFFFF"/>
          <w:lang w:val="en-US"/>
        </w:rPr>
        <w:t xml:space="preserve">. This </w:t>
      </w:r>
      <w:r w:rsidRPr="000D6294">
        <w:rPr>
          <w:rFonts w:cs="Times New Roman"/>
          <w:color w:val="FF0000"/>
          <w:shd w:val="clear" w:color="auto" w:fill="FFFFFF"/>
          <w:lang w:val="en-US"/>
        </w:rPr>
        <w:t>paper</w:t>
      </w:r>
      <w:r w:rsidRPr="005E50BA">
        <w:rPr>
          <w:rFonts w:cs="Times New Roman"/>
          <w:color w:val="000000"/>
          <w:shd w:val="clear" w:color="auto" w:fill="FFFFFF"/>
          <w:lang w:val="en-US"/>
        </w:rPr>
        <w:t xml:space="preserve"> contains also a synthesis of moral damages granted by the ECtHR in Moldovan cases. In October 2013, the LRCM issued an informative </w:t>
      </w:r>
      <w:r w:rsidRPr="000D6294">
        <w:rPr>
          <w:rFonts w:cs="Times New Roman"/>
          <w:color w:val="FF0000"/>
          <w:shd w:val="clear" w:color="auto" w:fill="FFFFFF"/>
          <w:lang w:val="en-US"/>
        </w:rPr>
        <w:t>paper</w:t>
      </w:r>
      <w:r w:rsidRPr="005E50BA">
        <w:rPr>
          <w:rFonts w:cs="Times New Roman"/>
          <w:color w:val="000000"/>
          <w:shd w:val="clear" w:color="auto" w:fill="FFFFFF"/>
          <w:lang w:val="en-US"/>
        </w:rPr>
        <w:t xml:space="preserve"> on the ECtHR practice on legal fees. </w:t>
      </w:r>
      <w:commentRangeStart w:id="12"/>
      <w:r w:rsidRPr="005E50BA">
        <w:rPr>
          <w:rFonts w:cs="Times New Roman"/>
          <w:color w:val="000000"/>
          <w:shd w:val="clear" w:color="auto" w:fill="FFFFFF"/>
          <w:lang w:val="en-US"/>
        </w:rPr>
        <w:t xml:space="preserve">The </w:t>
      </w:r>
      <w:r w:rsidRPr="000D6294">
        <w:rPr>
          <w:rFonts w:cs="Times New Roman"/>
          <w:color w:val="FF0000"/>
          <w:shd w:val="clear" w:color="auto" w:fill="FFFFFF"/>
          <w:lang w:val="en-US"/>
        </w:rPr>
        <w:t>paper</w:t>
      </w:r>
      <w:r w:rsidRPr="005E50BA">
        <w:rPr>
          <w:rFonts w:cs="Times New Roman"/>
          <w:color w:val="000000"/>
          <w:shd w:val="clear" w:color="auto" w:fill="FFFFFF"/>
          <w:lang w:val="en-US"/>
        </w:rPr>
        <w:t xml:space="preserve"> presents the main ECtHR standards in this area and synthesizes its practice in the cases </w:t>
      </w:r>
      <w:commentRangeEnd w:id="12"/>
      <w:r w:rsidR="00D8405F">
        <w:rPr>
          <w:rStyle w:val="CommentReference"/>
        </w:rPr>
        <w:commentReference w:id="12"/>
      </w:r>
      <w:r w:rsidRPr="005E50BA">
        <w:rPr>
          <w:rFonts w:cs="Times New Roman"/>
          <w:color w:val="000000"/>
          <w:shd w:val="clear" w:color="auto" w:fill="FFFFFF"/>
          <w:lang w:val="en-US"/>
        </w:rPr>
        <w:t xml:space="preserve">against Moldova that were decided until October 2013. Both </w:t>
      </w:r>
      <w:r w:rsidRPr="000D6294">
        <w:rPr>
          <w:rFonts w:cs="Times New Roman"/>
          <w:color w:val="FF0000"/>
          <w:shd w:val="clear" w:color="auto" w:fill="FFFFFF"/>
          <w:lang w:val="en-US"/>
        </w:rPr>
        <w:t>papers</w:t>
      </w:r>
      <w:r w:rsidRPr="005E50BA">
        <w:rPr>
          <w:rFonts w:cs="Times New Roman"/>
          <w:color w:val="000000"/>
          <w:shd w:val="clear" w:color="auto" w:fill="FFFFFF"/>
          <w:lang w:val="en-US"/>
        </w:rPr>
        <w:t xml:space="preserve"> were issued to facilitate the work of Moldovan judges and attorneys.</w:t>
      </w:r>
    </w:p>
    <w:p w:rsidR="005E50BA" w:rsidRPr="004635CE" w:rsidRDefault="005E50BA" w:rsidP="001369A8">
      <w:pPr>
        <w:spacing w:after="0" w:line="288" w:lineRule="auto"/>
        <w:jc w:val="both"/>
        <w:rPr>
          <w:rFonts w:cs="Times New Roman"/>
          <w:bCs/>
          <w:lang w:val="en-US"/>
        </w:rPr>
      </w:pPr>
    </w:p>
    <w:p w:rsidR="005E50BA" w:rsidRPr="004635CE" w:rsidRDefault="004635CE" w:rsidP="001369A8">
      <w:pPr>
        <w:spacing w:after="0" w:line="288" w:lineRule="auto"/>
        <w:jc w:val="both"/>
        <w:rPr>
          <w:rFonts w:cs="Times New Roman"/>
          <w:color w:val="000000"/>
          <w:shd w:val="clear" w:color="auto" w:fill="FFFFFF"/>
          <w:lang w:val="en-US"/>
        </w:rPr>
      </w:pPr>
      <w:r w:rsidRPr="004635CE">
        <w:rPr>
          <w:rFonts w:cs="Times New Roman"/>
          <w:color w:val="000000"/>
          <w:shd w:val="clear" w:color="auto" w:fill="FFFFFF"/>
          <w:lang w:val="en-US"/>
        </w:rPr>
        <w:t>In view of facilitating the application of the ECHR at national level and changing the incompatible court practices, in 2013, the LRCM, in cooperation with the National Institute of Justice, held 3 seminars on repair of damages caused by violating the rights guaranteed by the ECHR that was attended by 61 judges and prosecutors. The issue of insufficient moral damages granted by Moldovan judges was especially tackled as it is a rather sharp problem in the country. For the same purpose, at the beginning of 2013, the LRCM selected 17 attorneys and intern attorneys who in 2013-2014 were to benefit from in-depth training on ECHR enforcement at national level. In 2013, they benefited from 2 two-day</w:t>
      </w:r>
      <w:r w:rsidR="00623518">
        <w:rPr>
          <w:rFonts w:cs="Times New Roman"/>
          <w:color w:val="000000"/>
          <w:shd w:val="clear" w:color="auto" w:fill="FFFFFF"/>
          <w:lang w:val="en-US"/>
        </w:rPr>
        <w:t>s</w:t>
      </w:r>
      <w:r w:rsidRPr="004635CE">
        <w:rPr>
          <w:rFonts w:cs="Times New Roman"/>
          <w:color w:val="000000"/>
          <w:shd w:val="clear" w:color="auto" w:fill="FFFFFF"/>
          <w:lang w:val="en-US"/>
        </w:rPr>
        <w:t xml:space="preserve"> seminars that discussed in-depth the ECtHR procedure and admissibility conditions, prohibition of torture and the right to a fair trial. Lawyers from the ECtHR Secretariat participated as trainers in two such seminars. Other three meetings were held with the 17 attorneys to discuss the new ECtHR caselaw in a specific area.</w:t>
      </w:r>
    </w:p>
    <w:p w:rsidR="004635CE" w:rsidRPr="004635CE" w:rsidRDefault="004635CE" w:rsidP="001369A8">
      <w:pPr>
        <w:spacing w:after="0" w:line="288" w:lineRule="auto"/>
        <w:jc w:val="both"/>
        <w:rPr>
          <w:rFonts w:cs="Times New Roman"/>
          <w:bCs/>
          <w:lang w:val="en-US"/>
        </w:rPr>
      </w:pPr>
    </w:p>
    <w:p w:rsidR="004635CE" w:rsidRPr="004635CE" w:rsidRDefault="004635CE" w:rsidP="004635CE">
      <w:pPr>
        <w:spacing w:after="0" w:line="288" w:lineRule="auto"/>
        <w:jc w:val="both"/>
        <w:rPr>
          <w:rFonts w:cs="Times New Roman"/>
          <w:color w:val="000000"/>
          <w:shd w:val="clear" w:color="auto" w:fill="FFFFFF"/>
          <w:lang w:val="en-US"/>
        </w:rPr>
      </w:pPr>
      <w:r w:rsidRPr="004635CE">
        <w:rPr>
          <w:rFonts w:cs="Times New Roman"/>
          <w:color w:val="000000"/>
          <w:shd w:val="clear" w:color="auto" w:fill="FFFFFF"/>
          <w:lang w:val="en-US"/>
        </w:rPr>
        <w:t xml:space="preserve">In 2013, the LRCM lawyers filed three complaints with the ECtHR on systematic problems in the Moldovan legal system. A case refers to the non-uniform </w:t>
      </w:r>
      <w:r w:rsidR="003721DD">
        <w:rPr>
          <w:rFonts w:cs="Times New Roman"/>
          <w:color w:val="000000"/>
          <w:shd w:val="clear" w:color="auto" w:fill="FFFFFF"/>
          <w:lang w:val="en-US"/>
        </w:rPr>
        <w:t>Supreme Court of Justice (</w:t>
      </w:r>
      <w:r w:rsidRPr="004635CE">
        <w:rPr>
          <w:rFonts w:cs="Times New Roman"/>
          <w:color w:val="000000"/>
          <w:shd w:val="clear" w:color="auto" w:fill="FFFFFF"/>
          <w:lang w:val="en-US"/>
        </w:rPr>
        <w:t>SCJ</w:t>
      </w:r>
      <w:r w:rsidR="003721DD">
        <w:rPr>
          <w:rFonts w:cs="Times New Roman"/>
          <w:color w:val="000000"/>
          <w:shd w:val="clear" w:color="auto" w:fill="FFFFFF"/>
          <w:lang w:val="en-US"/>
        </w:rPr>
        <w:t>)</w:t>
      </w:r>
      <w:r w:rsidRPr="004635CE">
        <w:rPr>
          <w:rFonts w:cs="Times New Roman"/>
          <w:color w:val="000000"/>
          <w:shd w:val="clear" w:color="auto" w:fill="FFFFFF"/>
          <w:lang w:val="en-US"/>
        </w:rPr>
        <w:t xml:space="preserve"> practice; the second case refers to the insufficient compensations granted at the national level for the violation of rights guaranteed by the ECtHR; and the third case refers to the eviction, without plausible justification, of a family from their state apartment in which they had lived for 25 years, without giving them another place to live. </w:t>
      </w:r>
    </w:p>
    <w:p w:rsidR="00DD0615" w:rsidRPr="00D2304A" w:rsidRDefault="00DD0615" w:rsidP="001369A8">
      <w:pPr>
        <w:spacing w:after="0" w:line="288" w:lineRule="auto"/>
        <w:jc w:val="both"/>
        <w:rPr>
          <w:rFonts w:cs="Times New Roman"/>
          <w:bCs/>
          <w:lang w:val="ro-MO"/>
        </w:rPr>
      </w:pPr>
    </w:p>
    <w:p w:rsidR="00297074" w:rsidRPr="00F12A8A" w:rsidRDefault="00297074" w:rsidP="00297074">
      <w:pPr>
        <w:spacing w:after="0" w:line="288" w:lineRule="auto"/>
        <w:jc w:val="both"/>
        <w:rPr>
          <w:rFonts w:cs="Times New Roman"/>
          <w:bCs/>
          <w:lang w:val="en-US"/>
        </w:rPr>
      </w:pPr>
      <w:r w:rsidRPr="00F12A8A">
        <w:rPr>
          <w:rFonts w:cs="Times New Roman"/>
          <w:b/>
          <w:bCs/>
          <w:lang w:val="en-US"/>
        </w:rPr>
        <w:t>ii. Prevention and Elimination of Discrimination</w:t>
      </w:r>
    </w:p>
    <w:p w:rsidR="00297074" w:rsidRPr="00F12A8A" w:rsidRDefault="00297074" w:rsidP="00297074">
      <w:pPr>
        <w:spacing w:after="0" w:line="288" w:lineRule="auto"/>
        <w:jc w:val="both"/>
        <w:rPr>
          <w:rFonts w:cs="Times New Roman"/>
          <w:lang w:val="en-US"/>
        </w:rPr>
      </w:pPr>
    </w:p>
    <w:p w:rsidR="00297074" w:rsidRPr="00F12A8A" w:rsidRDefault="00297074" w:rsidP="00297074">
      <w:pPr>
        <w:spacing w:after="0" w:line="288" w:lineRule="auto"/>
        <w:jc w:val="both"/>
        <w:rPr>
          <w:rFonts w:cs="Times New Roman"/>
          <w:color w:val="000000"/>
          <w:lang w:val="en-US"/>
        </w:rPr>
      </w:pPr>
      <w:r w:rsidRPr="00F12A8A">
        <w:rPr>
          <w:rFonts w:cs="Times New Roman"/>
          <w:lang w:val="en-US"/>
        </w:rPr>
        <w:t xml:space="preserve">In 2013, the </w:t>
      </w:r>
      <w:r w:rsidRPr="00F12A8A">
        <w:rPr>
          <w:rFonts w:cs="Times New Roman"/>
          <w:color w:val="000000"/>
          <w:shd w:val="clear" w:color="auto" w:fill="FFFFFF"/>
          <w:lang w:val="en-US"/>
        </w:rPr>
        <w:t>LRCM</w:t>
      </w:r>
      <w:r w:rsidRPr="00F12A8A">
        <w:rPr>
          <w:rFonts w:cs="Times New Roman"/>
          <w:lang w:val="en-US"/>
        </w:rPr>
        <w:t xml:space="preserve">, together with other several NGOs, made 4 public calls addressed at the Parliament by which it requested a transparent and fair selection of members of the Council for Preventing and Eliminating Discrimination and Ensuring Equality. Most of the requests were accepted by the Parliament. Nonetheless, no reasoned advisory opinions on each candidate were issued, although it is impossible to know without them the reasons for selecting one candidate or another and this was expressly requested in the public calls. Also, the </w:t>
      </w:r>
      <w:r w:rsidRPr="00F12A8A">
        <w:rPr>
          <w:rFonts w:cs="Times New Roman"/>
          <w:color w:val="000000"/>
          <w:shd w:val="clear" w:color="auto" w:fill="FFFFFF"/>
          <w:lang w:val="en-US"/>
        </w:rPr>
        <w:t xml:space="preserve">LRCM </w:t>
      </w:r>
      <w:r w:rsidRPr="00F12A8A">
        <w:rPr>
          <w:rFonts w:cs="Times New Roman"/>
          <w:lang w:val="en-US"/>
        </w:rPr>
        <w:t>together with other NGOs requested the Parliament to abrogate Art.</w:t>
      </w:r>
      <w:r w:rsidRPr="00F12A8A">
        <w:rPr>
          <w:rFonts w:cs="Times New Roman"/>
          <w:color w:val="000000"/>
          <w:lang w:val="en-US"/>
        </w:rPr>
        <w:t>90</w:t>
      </w:r>
      <w:r w:rsidRPr="00F12A8A">
        <w:rPr>
          <w:rFonts w:cs="Times New Roman"/>
          <w:color w:val="000000"/>
          <w:vertAlign w:val="superscript"/>
          <w:lang w:val="en-US"/>
        </w:rPr>
        <w:t>1</w:t>
      </w:r>
      <w:r w:rsidRPr="00F12A8A">
        <w:rPr>
          <w:rFonts w:cs="Times New Roman"/>
          <w:color w:val="000000"/>
          <w:lang w:val="en-US"/>
        </w:rPr>
        <w:t xml:space="preserve">para.(2) of the Code for Contraventions, introduced on </w:t>
      </w:r>
      <w:r w:rsidRPr="00F12A8A">
        <w:rPr>
          <w:rFonts w:cs="Times New Roman"/>
          <w:lang w:val="en-US"/>
        </w:rPr>
        <w:t xml:space="preserve">23 May 2013 that basically incriminated “dissemination of information or commission of other acts aimed at propagating relations other than those related to marriage or family.” On 8 November </w:t>
      </w:r>
      <w:r w:rsidRPr="00F12A8A">
        <w:rPr>
          <w:rFonts w:cs="Times New Roman"/>
          <w:color w:val="000000"/>
          <w:lang w:val="en-US"/>
        </w:rPr>
        <w:t xml:space="preserve">2013, </w:t>
      </w:r>
      <w:r w:rsidRPr="00F12A8A">
        <w:rPr>
          <w:rFonts w:cs="Times New Roman"/>
          <w:lang w:val="en-US"/>
        </w:rPr>
        <w:t>the Parliament amended Art.</w:t>
      </w:r>
      <w:r w:rsidRPr="00F12A8A">
        <w:rPr>
          <w:rFonts w:cs="Times New Roman"/>
          <w:color w:val="000000"/>
          <w:lang w:val="en-US"/>
        </w:rPr>
        <w:t>90</w:t>
      </w:r>
      <w:r w:rsidRPr="00F12A8A">
        <w:rPr>
          <w:rFonts w:cs="Times New Roman"/>
          <w:color w:val="000000"/>
          <w:vertAlign w:val="superscript"/>
          <w:lang w:val="en-US"/>
        </w:rPr>
        <w:t>1</w:t>
      </w:r>
      <w:r w:rsidRPr="00F12A8A">
        <w:rPr>
          <w:rFonts w:cs="Times New Roman"/>
          <w:color w:val="000000"/>
          <w:lang w:val="en-US"/>
        </w:rPr>
        <w:t xml:space="preserve">para.(2) of the Code </w:t>
      </w:r>
      <w:r w:rsidRPr="00F12A8A">
        <w:rPr>
          <w:rFonts w:cs="Times New Roman"/>
          <w:color w:val="000000"/>
          <w:lang w:val="en-US"/>
        </w:rPr>
        <w:lastRenderedPageBreak/>
        <w:t xml:space="preserve">for Contraventions, limiting its applicability only to the dissemination of public information or commission of acts aimed at propagating prostitution, pedophilia, or pornography. </w:t>
      </w:r>
    </w:p>
    <w:p w:rsidR="00854C76" w:rsidRPr="00297074" w:rsidRDefault="00854C76" w:rsidP="001369A8">
      <w:pPr>
        <w:spacing w:after="0" w:line="288" w:lineRule="auto"/>
        <w:jc w:val="both"/>
        <w:rPr>
          <w:rFonts w:cs="Times New Roman"/>
          <w:color w:val="000000"/>
        </w:rPr>
      </w:pPr>
    </w:p>
    <w:p w:rsidR="00175096" w:rsidRPr="00D2304A" w:rsidRDefault="00175096" w:rsidP="001369A8">
      <w:pPr>
        <w:spacing w:after="0" w:line="288" w:lineRule="auto"/>
        <w:ind w:left="720"/>
        <w:jc w:val="both"/>
        <w:rPr>
          <w:rFonts w:cs="Times New Roman"/>
          <w:lang w:val="ro-MO"/>
        </w:rPr>
      </w:pPr>
    </w:p>
    <w:p w:rsidR="00E33883" w:rsidRPr="009436A9" w:rsidRDefault="00E33883" w:rsidP="00E33883">
      <w:pPr>
        <w:spacing w:after="0" w:line="288" w:lineRule="auto"/>
        <w:jc w:val="both"/>
        <w:rPr>
          <w:rFonts w:cs="Times New Roman"/>
          <w:b/>
          <w:lang w:val="en-US"/>
        </w:rPr>
      </w:pPr>
      <w:r w:rsidRPr="009436A9">
        <w:rPr>
          <w:rFonts w:cs="Times New Roman"/>
          <w:b/>
          <w:lang w:val="en-US"/>
        </w:rPr>
        <w:t>iii. Prevention of Torture</w:t>
      </w:r>
    </w:p>
    <w:p w:rsidR="00CF4D3E" w:rsidRPr="009436A9" w:rsidRDefault="00CF4D3E" w:rsidP="001369A8">
      <w:pPr>
        <w:spacing w:after="0" w:line="288" w:lineRule="auto"/>
        <w:jc w:val="both"/>
        <w:rPr>
          <w:rFonts w:cs="Times New Roman"/>
          <w:lang w:val="en-US"/>
        </w:rPr>
      </w:pPr>
    </w:p>
    <w:p w:rsidR="00393BCF" w:rsidRPr="009436A9" w:rsidRDefault="00393BCF" w:rsidP="001369A8">
      <w:pPr>
        <w:spacing w:after="0" w:line="288" w:lineRule="auto"/>
        <w:jc w:val="both"/>
        <w:rPr>
          <w:rFonts w:cs="Times New Roman"/>
          <w:lang w:val="en-US"/>
        </w:rPr>
      </w:pPr>
      <w:r w:rsidRPr="009436A9">
        <w:rPr>
          <w:rFonts w:cs="Times New Roman"/>
          <w:lang w:val="en-US"/>
        </w:rPr>
        <w:t xml:space="preserve">As a result of the efforts made by the </w:t>
      </w:r>
      <w:r w:rsidRPr="009436A9">
        <w:rPr>
          <w:rFonts w:cs="Times New Roman"/>
          <w:color w:val="000000"/>
          <w:shd w:val="clear" w:color="auto" w:fill="FFFFFF"/>
          <w:lang w:val="en-US"/>
        </w:rPr>
        <w:t xml:space="preserve">LRCM </w:t>
      </w:r>
      <w:r w:rsidRPr="009436A9">
        <w:rPr>
          <w:rFonts w:cs="Times New Roman"/>
          <w:lang w:val="en-US"/>
        </w:rPr>
        <w:t xml:space="preserve">and other NGOs, in November 2012, the Parliament amended the Criminal Code (Law no.252/2012) to harden the sanctions for acts of torture or ill- or degrading treatment. This amendment is a precondition for combating torture. Another problem in combating torture is the deficient investigation of torture cases by prosecutors. In view of unifying the practice and enhancing the work of prosecutors in examining cases of torture, ill- and degrading treatment, the </w:t>
      </w:r>
      <w:r w:rsidRPr="009436A9">
        <w:rPr>
          <w:rFonts w:cs="Times New Roman"/>
          <w:color w:val="000000"/>
          <w:shd w:val="clear" w:color="auto" w:fill="FFFFFF"/>
          <w:lang w:val="en-US"/>
        </w:rPr>
        <w:t xml:space="preserve">LRCM </w:t>
      </w:r>
      <w:r w:rsidRPr="009436A9">
        <w:rPr>
          <w:rFonts w:cs="Times New Roman"/>
          <w:lang w:val="en-US"/>
        </w:rPr>
        <w:t xml:space="preserve">coordinated a group of experts that developed methodological recommendations for an efficient investigation by prosecutors of torture, inhuman or degrading treatment crimes. </w:t>
      </w:r>
      <w:commentRangeStart w:id="13"/>
      <w:r w:rsidRPr="009436A9">
        <w:rPr>
          <w:rFonts w:cs="Times New Roman"/>
          <w:lang w:val="en-US"/>
        </w:rPr>
        <w:t xml:space="preserve">These recommendations synthesize the best international and national practices on combating torture. </w:t>
      </w:r>
      <w:commentRangeEnd w:id="13"/>
      <w:r w:rsidR="009436A9">
        <w:rPr>
          <w:rStyle w:val="CommentReference"/>
        </w:rPr>
        <w:commentReference w:id="13"/>
      </w:r>
      <w:r w:rsidRPr="009436A9">
        <w:rPr>
          <w:rFonts w:cs="Times New Roman"/>
          <w:lang w:val="en-US"/>
        </w:rPr>
        <w:t>The paper was approved by Order of the Prosecutor General no.76/8 of 30 December 2013 and is mandatory for all prosecutors in the country.</w:t>
      </w:r>
    </w:p>
    <w:p w:rsidR="00A54DD4" w:rsidRPr="00D2304A" w:rsidRDefault="00A54DD4" w:rsidP="001369A8">
      <w:pPr>
        <w:spacing w:after="0" w:line="288" w:lineRule="auto"/>
        <w:jc w:val="both"/>
        <w:rPr>
          <w:rFonts w:cs="Times New Roman"/>
          <w:lang w:val="ro-MO"/>
        </w:rPr>
      </w:pPr>
    </w:p>
    <w:p w:rsidR="00132D84" w:rsidRPr="00A95A36" w:rsidRDefault="003C7E89" w:rsidP="00132D84">
      <w:pPr>
        <w:spacing w:after="0" w:line="288" w:lineRule="auto"/>
        <w:jc w:val="both"/>
        <w:rPr>
          <w:rFonts w:cs="Times New Roman"/>
          <w:b/>
          <w:lang w:val="en-US"/>
        </w:rPr>
      </w:pPr>
      <w:r>
        <w:rPr>
          <w:rFonts w:cs="Times New Roman"/>
          <w:b/>
          <w:lang w:val="en-US"/>
        </w:rPr>
        <w:t>iv. The Right to Liberty</w:t>
      </w:r>
    </w:p>
    <w:p w:rsidR="00EF7A73" w:rsidRPr="00A95A36" w:rsidRDefault="00EF7A73" w:rsidP="001369A8">
      <w:pPr>
        <w:spacing w:after="0" w:line="288" w:lineRule="auto"/>
        <w:jc w:val="both"/>
        <w:rPr>
          <w:rFonts w:cs="Times New Roman"/>
          <w:b/>
          <w:lang w:val="en-US"/>
        </w:rPr>
      </w:pPr>
    </w:p>
    <w:p w:rsidR="00132D84" w:rsidRPr="00A95A36" w:rsidRDefault="00A95A36" w:rsidP="001369A8">
      <w:pPr>
        <w:spacing w:after="0" w:line="288" w:lineRule="auto"/>
        <w:jc w:val="both"/>
        <w:rPr>
          <w:rFonts w:cs="Times New Roman"/>
          <w:lang w:val="en-US"/>
        </w:rPr>
      </w:pPr>
      <w:r w:rsidRPr="00A95A36">
        <w:rPr>
          <w:rFonts w:cs="Times New Roman"/>
          <w:lang w:val="en-US"/>
        </w:rPr>
        <w:t xml:space="preserve">During 2012-2013, the President of the </w:t>
      </w:r>
      <w:r w:rsidRPr="00A95A36">
        <w:rPr>
          <w:rFonts w:cs="Times New Roman"/>
          <w:color w:val="000000"/>
          <w:shd w:val="clear" w:color="auto" w:fill="FFFFFF"/>
          <w:lang w:val="en-US"/>
        </w:rPr>
        <w:t xml:space="preserve">LRCM </w:t>
      </w:r>
      <w:r w:rsidRPr="00A95A36">
        <w:rPr>
          <w:rFonts w:cs="Times New Roman"/>
          <w:lang w:val="en-US"/>
        </w:rPr>
        <w:t>was member of a working group responsible for preparing a draft decision of the SC</w:t>
      </w:r>
      <w:r w:rsidR="00DF0743">
        <w:rPr>
          <w:rFonts w:cs="Times New Roman"/>
          <w:lang w:val="en-US"/>
        </w:rPr>
        <w:t>J</w:t>
      </w:r>
      <w:r w:rsidRPr="00A95A36">
        <w:rPr>
          <w:rFonts w:cs="Times New Roman"/>
          <w:lang w:val="en-US"/>
        </w:rPr>
        <w:t xml:space="preserve"> Plenum on the pretrial detention and home arrest. The working group included SCJ and CC judges and university lecturers. The paper prepared by the working group for the most part is based on the ECtHR standards on the right to </w:t>
      </w:r>
      <w:r w:rsidR="00DF0743">
        <w:rPr>
          <w:rFonts w:cs="Times New Roman"/>
          <w:lang w:val="en-US"/>
        </w:rPr>
        <w:t>liberty</w:t>
      </w:r>
      <w:r w:rsidRPr="00A95A36">
        <w:rPr>
          <w:rFonts w:cs="Times New Roman"/>
          <w:lang w:val="en-US"/>
        </w:rPr>
        <w:t xml:space="preserve"> and comes with recommendations on their practical enforcement. On 15 April 2013, the draft prepared by the working group was voted by the SCJ without major changes. This </w:t>
      </w:r>
      <w:r w:rsidRPr="001D4F5A">
        <w:rPr>
          <w:rFonts w:cs="Times New Roman"/>
          <w:color w:val="FF0000"/>
          <w:lang w:val="en-US"/>
        </w:rPr>
        <w:t>paper</w:t>
      </w:r>
      <w:r w:rsidRPr="00A95A36">
        <w:rPr>
          <w:rFonts w:cs="Times New Roman"/>
          <w:lang w:val="en-US"/>
        </w:rPr>
        <w:t xml:space="preserve"> should serve as a catalyzer for changing the problematic practices at the pretrial detention stage.</w:t>
      </w:r>
    </w:p>
    <w:p w:rsidR="00A95A36" w:rsidRPr="00A95A36" w:rsidRDefault="00A95A36" w:rsidP="001369A8">
      <w:pPr>
        <w:spacing w:after="0" w:line="288" w:lineRule="auto"/>
        <w:jc w:val="both"/>
        <w:rPr>
          <w:rFonts w:cs="Times New Roman"/>
          <w:lang w:val="en-US"/>
        </w:rPr>
      </w:pPr>
    </w:p>
    <w:p w:rsidR="00A95A36" w:rsidRPr="00A95A36" w:rsidRDefault="00A95A36" w:rsidP="001369A8">
      <w:pPr>
        <w:spacing w:after="0" w:line="288" w:lineRule="auto"/>
        <w:jc w:val="both"/>
        <w:rPr>
          <w:rFonts w:cs="Times New Roman"/>
          <w:b/>
          <w:lang w:val="en-US"/>
        </w:rPr>
      </w:pPr>
      <w:r w:rsidRPr="00A95A36">
        <w:rPr>
          <w:rFonts w:cs="Times New Roman"/>
          <w:lang w:val="en-US"/>
        </w:rPr>
        <w:t xml:space="preserve">In 2012-2013, the President of the </w:t>
      </w:r>
      <w:r w:rsidRPr="00A95A36">
        <w:rPr>
          <w:rFonts w:cs="Times New Roman"/>
          <w:color w:val="000000"/>
          <w:shd w:val="clear" w:color="auto" w:fill="FFFFFF"/>
          <w:lang w:val="en-US"/>
        </w:rPr>
        <w:t xml:space="preserve">LRCM </w:t>
      </w:r>
      <w:r w:rsidRPr="00A95A36">
        <w:rPr>
          <w:rFonts w:cs="Times New Roman"/>
          <w:lang w:val="en-US"/>
        </w:rPr>
        <w:t xml:space="preserve">was part of a group of experts coordinated by Soros Foundation Moldova that reviewed pretrial detention cases in the country. A study was developed based on this information, which was launched in October 2013. </w:t>
      </w:r>
      <w:commentRangeStart w:id="14"/>
      <w:r w:rsidRPr="00A95A36">
        <w:rPr>
          <w:rFonts w:cs="Times New Roman"/>
          <w:lang w:val="en-US"/>
        </w:rPr>
        <w:t xml:space="preserve">The study is based on an analysis of 652 cases </w:t>
      </w:r>
      <w:commentRangeEnd w:id="14"/>
      <w:r>
        <w:rPr>
          <w:rStyle w:val="CommentReference"/>
        </w:rPr>
        <w:commentReference w:id="14"/>
      </w:r>
      <w:r w:rsidRPr="00A95A36">
        <w:rPr>
          <w:rFonts w:cs="Times New Roman"/>
          <w:lang w:val="en-US"/>
        </w:rPr>
        <w:t xml:space="preserve">in the period from 1 July to 31 December 2011, which accounts for 25% of the total number of such cases examined in the </w:t>
      </w:r>
      <w:r w:rsidR="00BD2935">
        <w:rPr>
          <w:rFonts w:cs="Times New Roman"/>
          <w:lang w:val="en-US"/>
        </w:rPr>
        <w:t>mentioned/</w:t>
      </w:r>
      <w:r w:rsidRPr="00BD2935">
        <w:rPr>
          <w:rFonts w:cs="Times New Roman"/>
          <w:color w:val="FF0000"/>
          <w:lang w:val="en-US"/>
        </w:rPr>
        <w:t>said</w:t>
      </w:r>
      <w:r w:rsidRPr="00A95A36">
        <w:rPr>
          <w:rFonts w:cs="Times New Roman"/>
          <w:lang w:val="en-US"/>
        </w:rPr>
        <w:t xml:space="preserve"> period. Each case was examined based on 54 criteria. The study revealed systemic problems related to the poor performance of attorneys and prosecutors and the poor reasoning of court judgments on arrests. Studies of such type and scope had not been conducted in Moldova before. The findings of the study can serve as reliable benchmarks for legislative amendments to pretrial detention.</w:t>
      </w:r>
    </w:p>
    <w:p w:rsidR="00EF7A73" w:rsidRDefault="00EF7A73" w:rsidP="001369A8">
      <w:pPr>
        <w:spacing w:after="0" w:line="288" w:lineRule="auto"/>
        <w:jc w:val="both"/>
        <w:rPr>
          <w:rFonts w:cs="Times New Roman"/>
          <w:b/>
          <w:lang w:val="ro-MO"/>
        </w:rPr>
      </w:pPr>
    </w:p>
    <w:p w:rsidR="00E566DB" w:rsidRPr="002301C4" w:rsidRDefault="00E566DB" w:rsidP="001369A8">
      <w:pPr>
        <w:spacing w:after="0" w:line="288" w:lineRule="auto"/>
        <w:jc w:val="both"/>
        <w:rPr>
          <w:rFonts w:cs="Times New Roman"/>
          <w:b/>
          <w:lang w:val="en-US"/>
        </w:rPr>
      </w:pPr>
    </w:p>
    <w:p w:rsidR="00185C1A" w:rsidRPr="002301C4" w:rsidRDefault="00185C1A" w:rsidP="00185C1A">
      <w:pPr>
        <w:spacing w:after="0" w:line="288" w:lineRule="auto"/>
        <w:jc w:val="both"/>
        <w:rPr>
          <w:rFonts w:cs="Times New Roman"/>
          <w:b/>
          <w:lang w:val="en-US"/>
        </w:rPr>
      </w:pPr>
      <w:r w:rsidRPr="002301C4">
        <w:rPr>
          <w:rFonts w:cs="Times New Roman"/>
          <w:b/>
          <w:lang w:val="en-US"/>
        </w:rPr>
        <w:t>v. Amending the Legislation on Ombudsman Activities</w:t>
      </w:r>
    </w:p>
    <w:p w:rsidR="00A0254C" w:rsidRPr="002301C4" w:rsidRDefault="00A0254C" w:rsidP="001369A8">
      <w:pPr>
        <w:spacing w:after="0" w:line="288" w:lineRule="auto"/>
        <w:jc w:val="both"/>
        <w:rPr>
          <w:rFonts w:cs="Times New Roman"/>
          <w:lang w:val="en-US"/>
        </w:rPr>
      </w:pPr>
    </w:p>
    <w:p w:rsidR="00854C76" w:rsidRPr="002301C4" w:rsidRDefault="00185C1A" w:rsidP="001369A8">
      <w:pPr>
        <w:spacing w:after="0" w:line="288" w:lineRule="auto"/>
        <w:jc w:val="both"/>
        <w:rPr>
          <w:rFonts w:cs="Times New Roman"/>
          <w:b/>
          <w:u w:val="single"/>
          <w:lang w:val="en-US"/>
        </w:rPr>
      </w:pPr>
      <w:r w:rsidRPr="002301C4">
        <w:rPr>
          <w:rFonts w:cs="Times New Roman"/>
          <w:lang w:val="en-US"/>
        </w:rPr>
        <w:t xml:space="preserve">The Government started amending the legislation on the ombudsman. In this sense, the MoJ created a working group to draft a new law on the ombudsman. The </w:t>
      </w:r>
      <w:r w:rsidRPr="002301C4">
        <w:rPr>
          <w:rFonts w:cs="Times New Roman"/>
          <w:color w:val="000000"/>
          <w:shd w:val="clear" w:color="auto" w:fill="FFFFFF"/>
          <w:lang w:val="en-US"/>
        </w:rPr>
        <w:t xml:space="preserve">LRCM </w:t>
      </w:r>
      <w:r w:rsidRPr="002301C4">
        <w:rPr>
          <w:rFonts w:cs="Times New Roman"/>
          <w:lang w:val="en-US"/>
        </w:rPr>
        <w:t xml:space="preserve">representatives participated in the meetings of the working group and made recommendations for improving the draft law. Although the draft law prepared by the working group encompassed most of the </w:t>
      </w:r>
      <w:r w:rsidRPr="002301C4">
        <w:rPr>
          <w:rFonts w:cs="Times New Roman"/>
          <w:color w:val="000000"/>
          <w:shd w:val="clear" w:color="auto" w:fill="FFFFFF"/>
          <w:lang w:val="en-US"/>
        </w:rPr>
        <w:t xml:space="preserve">LRCM </w:t>
      </w:r>
      <w:r w:rsidRPr="002301C4">
        <w:rPr>
          <w:rFonts w:cs="Times New Roman"/>
          <w:color w:val="000000"/>
          <w:bdr w:val="none" w:sz="0" w:space="0" w:color="auto" w:frame="1"/>
          <w:lang w:val="en-US"/>
        </w:rPr>
        <w:t>recommendations, the paper was substantially amended in the Parliament. The public co</w:t>
      </w:r>
      <w:r w:rsidR="00E141BF">
        <w:rPr>
          <w:rFonts w:cs="Times New Roman"/>
          <w:color w:val="000000"/>
          <w:bdr w:val="none" w:sz="0" w:space="0" w:color="auto" w:frame="1"/>
          <w:lang w:val="en-US"/>
        </w:rPr>
        <w:t>mpetition</w:t>
      </w:r>
      <w:r w:rsidRPr="002301C4">
        <w:rPr>
          <w:rFonts w:cs="Times New Roman"/>
          <w:color w:val="000000"/>
          <w:bdr w:val="none" w:sz="0" w:space="0" w:color="auto" w:frame="1"/>
          <w:lang w:val="en-US"/>
        </w:rPr>
        <w:t xml:space="preserve"> for selecting an ombudsman was excluded; provisions were introduced that seriously affect the independence of the ombudsman; and the ombudsman’s competences of examining certain categories of complaints were limited. The draft law was </w:t>
      </w:r>
      <w:r w:rsidRPr="002301C4">
        <w:rPr>
          <w:rFonts w:cs="Times New Roman"/>
          <w:color w:val="000000"/>
          <w:bdr w:val="none" w:sz="0" w:space="0" w:color="auto" w:frame="1"/>
          <w:lang w:val="en-US"/>
        </w:rPr>
        <w:lastRenderedPageBreak/>
        <w:t xml:space="preserve">voted by the Parliament and sent to the President for promulgation. On </w:t>
      </w:r>
      <w:r w:rsidRPr="002301C4">
        <w:rPr>
          <w:rFonts w:cs="Times New Roman"/>
          <w:color w:val="000000"/>
          <w:bdr w:val="none" w:sz="0" w:space="0" w:color="auto" w:frame="1"/>
          <w:shd w:val="clear" w:color="auto" w:fill="FFFFFF"/>
          <w:lang w:val="en-US"/>
        </w:rPr>
        <w:t xml:space="preserve">24 December 2013, at the </w:t>
      </w:r>
      <w:r w:rsidRPr="002301C4">
        <w:rPr>
          <w:rFonts w:cs="Times New Roman"/>
          <w:color w:val="000000"/>
          <w:shd w:val="clear" w:color="auto" w:fill="FFFFFF"/>
          <w:lang w:val="en-US"/>
        </w:rPr>
        <w:t xml:space="preserve">LRCM </w:t>
      </w:r>
      <w:r w:rsidRPr="002301C4">
        <w:rPr>
          <w:rFonts w:cs="Times New Roman"/>
          <w:color w:val="000000"/>
          <w:bdr w:val="none" w:sz="0" w:space="0" w:color="auto" w:frame="1"/>
          <w:shd w:val="clear" w:color="auto" w:fill="FFFFFF"/>
          <w:lang w:val="en-US"/>
        </w:rPr>
        <w:t xml:space="preserve">initiative, </w:t>
      </w:r>
      <w:hyperlink r:id="rId20" w:history="1">
        <w:r w:rsidRPr="002301C4">
          <w:rPr>
            <w:rStyle w:val="Hyperlink"/>
            <w:rFonts w:cs="Times New Roman"/>
            <w:bdr w:val="none" w:sz="0" w:space="0" w:color="auto" w:frame="1"/>
            <w:shd w:val="clear" w:color="auto" w:fill="FFFFFF"/>
            <w:lang w:val="en-US"/>
          </w:rPr>
          <w:t>over 40 NGOs and coalitions requested the Moldovan President to not promulgate the Law.</w:t>
        </w:r>
      </w:hyperlink>
      <w:r w:rsidRPr="002301C4">
        <w:rPr>
          <w:lang w:val="en-US"/>
        </w:rPr>
        <w:t xml:space="preserve"> </w:t>
      </w:r>
      <w:r w:rsidRPr="002301C4">
        <w:rPr>
          <w:rFonts w:cs="Times New Roman"/>
          <w:color w:val="000000"/>
          <w:bdr w:val="none" w:sz="0" w:space="0" w:color="auto" w:frame="1"/>
          <w:shd w:val="clear" w:color="auto" w:fill="FFFFFF"/>
          <w:lang w:val="en-US"/>
        </w:rPr>
        <w:t>On 20 February 2014, the Moldovan President refused promulgating the Law, sent it back to the Parliament, and recommended it to consult the foreign partners and the civil society.</w:t>
      </w:r>
    </w:p>
    <w:p w:rsidR="009A1D3B" w:rsidRPr="00BD1C1D" w:rsidRDefault="00B53E8F" w:rsidP="009A1D3B">
      <w:pPr>
        <w:spacing w:after="0" w:line="288" w:lineRule="auto"/>
        <w:rPr>
          <w:rFonts w:cs="Times New Roman"/>
          <w:b/>
          <w:lang w:val="en-US"/>
        </w:rPr>
      </w:pPr>
      <w:r w:rsidRPr="00D2304A">
        <w:rPr>
          <w:rFonts w:cs="Times New Roman"/>
          <w:b/>
          <w:u w:val="single"/>
          <w:lang w:val="ro-MO"/>
        </w:rPr>
        <w:br w:type="page"/>
      </w:r>
      <w:r w:rsidR="009A1D3B" w:rsidRPr="00BD1C1D">
        <w:rPr>
          <w:rFonts w:cs="Times New Roman"/>
          <w:b/>
          <w:lang w:val="en-US"/>
        </w:rPr>
        <w:lastRenderedPageBreak/>
        <w:t xml:space="preserve">STRENGTHENING INSTITUTIONAL CAPACITIES AND ENHACING VISIBILITY OF THE </w:t>
      </w:r>
      <w:r w:rsidR="009A1D3B" w:rsidRPr="00BD1C1D">
        <w:rPr>
          <w:rFonts w:cs="Times New Roman"/>
          <w:b/>
          <w:color w:val="000000"/>
          <w:shd w:val="clear" w:color="auto" w:fill="FFFFFF"/>
          <w:lang w:val="en-US"/>
        </w:rPr>
        <w:t>LRCM</w:t>
      </w:r>
    </w:p>
    <w:p w:rsidR="005E3583" w:rsidRPr="00BD1C1D" w:rsidRDefault="009A1D3B" w:rsidP="009A1D3B">
      <w:pPr>
        <w:spacing w:after="0" w:line="288" w:lineRule="auto"/>
        <w:rPr>
          <w:rFonts w:cs="Times New Roman"/>
          <w:lang w:val="en-US"/>
        </w:rPr>
      </w:pPr>
      <w:r w:rsidRPr="00BD1C1D">
        <w:rPr>
          <w:rFonts w:cs="Times New Roman"/>
          <w:lang w:val="en-US"/>
        </w:rPr>
        <w:t xml:space="preserve">The year 2013 marked major institutional changes in the </w:t>
      </w:r>
      <w:r w:rsidRPr="00BD1C1D">
        <w:rPr>
          <w:rFonts w:cs="Times New Roman"/>
          <w:color w:val="000000"/>
          <w:shd w:val="clear" w:color="auto" w:fill="FFFFFF"/>
          <w:lang w:val="en-US"/>
        </w:rPr>
        <w:t>LRCM</w:t>
      </w:r>
      <w:r w:rsidRPr="00BD1C1D">
        <w:rPr>
          <w:rFonts w:cs="Times New Roman"/>
          <w:lang w:val="en-US"/>
        </w:rPr>
        <w:t>. The main achievements in this sense were as follows:</w:t>
      </w:r>
    </w:p>
    <w:p w:rsidR="009A1D3B" w:rsidRPr="00BD1C1D" w:rsidRDefault="009A1D3B" w:rsidP="009A1D3B">
      <w:pPr>
        <w:spacing w:after="0" w:line="288" w:lineRule="auto"/>
        <w:rPr>
          <w:rFonts w:cs="Times New Roman"/>
          <w:lang w:val="en-US"/>
        </w:rPr>
      </w:pPr>
    </w:p>
    <w:p w:rsidR="00412CDF" w:rsidRPr="00BD1C1D" w:rsidRDefault="00412CDF" w:rsidP="00412CDF">
      <w:pPr>
        <w:pStyle w:val="ListParagraph"/>
        <w:numPr>
          <w:ilvl w:val="0"/>
          <w:numId w:val="14"/>
        </w:numPr>
        <w:tabs>
          <w:tab w:val="left" w:pos="284"/>
        </w:tabs>
        <w:spacing w:after="0" w:line="288" w:lineRule="auto"/>
        <w:ind w:left="0" w:firstLine="142"/>
        <w:jc w:val="both"/>
        <w:rPr>
          <w:rFonts w:cs="Times New Roman"/>
          <w:lang w:val="en-US"/>
        </w:rPr>
      </w:pPr>
      <w:r w:rsidRPr="00BD1C1D">
        <w:rPr>
          <w:rFonts w:cs="Times New Roman"/>
          <w:b/>
          <w:lang w:val="en-US"/>
        </w:rPr>
        <w:t xml:space="preserve">External evaluation of the </w:t>
      </w:r>
      <w:r w:rsidRPr="00BD1C1D">
        <w:rPr>
          <w:rFonts w:cs="Times New Roman"/>
          <w:b/>
          <w:color w:val="000000"/>
          <w:shd w:val="clear" w:color="auto" w:fill="FFFFFF"/>
          <w:lang w:val="en-US"/>
        </w:rPr>
        <w:t xml:space="preserve">LRCM </w:t>
      </w:r>
      <w:r w:rsidRPr="00BD1C1D">
        <w:rPr>
          <w:rFonts w:cs="Times New Roman"/>
          <w:b/>
          <w:lang w:val="en-US"/>
        </w:rPr>
        <w:t>by the USAID Rule of Law Institutional Strengthening Program (ROLISP)</w:t>
      </w:r>
      <w:r w:rsidRPr="00BD1C1D">
        <w:rPr>
          <w:rFonts w:cs="Times New Roman"/>
          <w:lang w:val="en-US"/>
        </w:rPr>
        <w:t xml:space="preserve">: In the evaluation conducted by the ROLISP experts, the </w:t>
      </w:r>
      <w:r w:rsidRPr="00BD1C1D">
        <w:rPr>
          <w:rFonts w:cs="Times New Roman"/>
          <w:color w:val="000000"/>
          <w:shd w:val="clear" w:color="auto" w:fill="FFFFFF"/>
          <w:lang w:val="en-US"/>
        </w:rPr>
        <w:t xml:space="preserve">LRCM </w:t>
      </w:r>
      <w:r w:rsidRPr="00BD1C1D">
        <w:rPr>
          <w:rFonts w:cs="Times New Roman"/>
          <w:lang w:val="en-US"/>
        </w:rPr>
        <w:t xml:space="preserve">scored 91 of 120 possible points. During 2013, the </w:t>
      </w:r>
      <w:r w:rsidRPr="00BD1C1D">
        <w:rPr>
          <w:rFonts w:cs="Times New Roman"/>
          <w:color w:val="000000"/>
          <w:shd w:val="clear" w:color="auto" w:fill="FFFFFF"/>
          <w:lang w:val="en-US"/>
        </w:rPr>
        <w:t xml:space="preserve">LRCM </w:t>
      </w:r>
      <w:r w:rsidRPr="00BD1C1D">
        <w:rPr>
          <w:rFonts w:cs="Times New Roman"/>
          <w:lang w:val="en-US"/>
        </w:rPr>
        <w:t xml:space="preserve">worked on implementing the evaluator recommendations, as follows: </w:t>
      </w:r>
    </w:p>
    <w:p w:rsidR="00412CDF" w:rsidRPr="00BD1C1D" w:rsidRDefault="00412CDF" w:rsidP="00412CDF">
      <w:pPr>
        <w:pStyle w:val="ListParagraph"/>
        <w:numPr>
          <w:ilvl w:val="0"/>
          <w:numId w:val="16"/>
        </w:numPr>
        <w:tabs>
          <w:tab w:val="left" w:pos="284"/>
        </w:tabs>
        <w:spacing w:after="0" w:line="288" w:lineRule="auto"/>
        <w:jc w:val="both"/>
        <w:rPr>
          <w:rFonts w:cs="Times New Roman"/>
          <w:lang w:val="en-US"/>
        </w:rPr>
      </w:pPr>
      <w:r w:rsidRPr="00BD1C1D">
        <w:rPr>
          <w:rFonts w:cs="Times New Roman"/>
          <w:lang w:val="en-US"/>
        </w:rPr>
        <w:t xml:space="preserve">The organization’s strategy was developed and adopted; </w:t>
      </w:r>
    </w:p>
    <w:p w:rsidR="00412CDF" w:rsidRPr="00BD1C1D" w:rsidRDefault="00412CDF" w:rsidP="00412CDF">
      <w:pPr>
        <w:pStyle w:val="ListParagraph"/>
        <w:numPr>
          <w:ilvl w:val="0"/>
          <w:numId w:val="16"/>
        </w:numPr>
        <w:tabs>
          <w:tab w:val="left" w:pos="284"/>
        </w:tabs>
        <w:spacing w:after="0" w:line="288" w:lineRule="auto"/>
        <w:jc w:val="both"/>
        <w:rPr>
          <w:rFonts w:cs="Times New Roman"/>
          <w:lang w:val="en-US"/>
        </w:rPr>
      </w:pPr>
      <w:r w:rsidRPr="00BD1C1D">
        <w:rPr>
          <w:rFonts w:cs="Times New Roman"/>
          <w:lang w:val="en-US"/>
        </w:rPr>
        <w:t xml:space="preserve">Work was started on a communication strategy; </w:t>
      </w:r>
    </w:p>
    <w:p w:rsidR="00412CDF" w:rsidRPr="00BD1C1D" w:rsidRDefault="00412CDF" w:rsidP="00412CDF">
      <w:pPr>
        <w:pStyle w:val="ListParagraph"/>
        <w:numPr>
          <w:ilvl w:val="0"/>
          <w:numId w:val="16"/>
        </w:numPr>
        <w:tabs>
          <w:tab w:val="left" w:pos="284"/>
        </w:tabs>
        <w:spacing w:after="0" w:line="288" w:lineRule="auto"/>
        <w:jc w:val="both"/>
        <w:rPr>
          <w:rFonts w:cs="Times New Roman"/>
          <w:lang w:val="en-US"/>
        </w:rPr>
      </w:pPr>
      <w:r w:rsidRPr="00BD1C1D">
        <w:rPr>
          <w:rFonts w:cs="Times New Roman"/>
          <w:lang w:val="en-US"/>
        </w:rPr>
        <w:t xml:space="preserve">Work was started on an internal evaluation mechanism; </w:t>
      </w:r>
    </w:p>
    <w:p w:rsidR="00412CDF" w:rsidRPr="00BD1C1D" w:rsidRDefault="00412CDF" w:rsidP="00412CDF">
      <w:pPr>
        <w:pStyle w:val="ListParagraph"/>
        <w:numPr>
          <w:ilvl w:val="0"/>
          <w:numId w:val="16"/>
        </w:numPr>
        <w:tabs>
          <w:tab w:val="left" w:pos="284"/>
        </w:tabs>
        <w:spacing w:after="0" w:line="288" w:lineRule="auto"/>
        <w:jc w:val="both"/>
        <w:rPr>
          <w:rFonts w:cs="Times New Roman"/>
          <w:lang w:val="en-US"/>
        </w:rPr>
      </w:pPr>
      <w:r w:rsidRPr="00BD1C1D">
        <w:rPr>
          <w:rFonts w:cs="Times New Roman"/>
          <w:lang w:val="en-US"/>
        </w:rPr>
        <w:t xml:space="preserve">Work was started on consolidated internal policy manual. </w:t>
      </w:r>
    </w:p>
    <w:p w:rsidR="00F3442C" w:rsidRPr="00126182" w:rsidRDefault="00F3442C" w:rsidP="005E3583">
      <w:pPr>
        <w:pStyle w:val="ListParagraph"/>
        <w:tabs>
          <w:tab w:val="left" w:pos="284"/>
        </w:tabs>
        <w:spacing w:after="0" w:line="288" w:lineRule="auto"/>
        <w:ind w:left="0" w:firstLine="142"/>
        <w:jc w:val="both"/>
        <w:rPr>
          <w:rFonts w:cs="Times New Roman"/>
          <w:lang w:val="en-US"/>
        </w:rPr>
      </w:pPr>
    </w:p>
    <w:p w:rsidR="00422576" w:rsidRPr="00126182" w:rsidRDefault="00422576" w:rsidP="00422576">
      <w:pPr>
        <w:pStyle w:val="ListParagraph"/>
        <w:numPr>
          <w:ilvl w:val="0"/>
          <w:numId w:val="14"/>
        </w:numPr>
        <w:tabs>
          <w:tab w:val="left" w:pos="284"/>
        </w:tabs>
        <w:spacing w:after="0" w:line="288" w:lineRule="auto"/>
        <w:ind w:left="0" w:firstLine="142"/>
        <w:jc w:val="both"/>
        <w:rPr>
          <w:rFonts w:cs="Times New Roman"/>
          <w:lang w:val="en-US"/>
        </w:rPr>
      </w:pPr>
      <w:r w:rsidRPr="00126182">
        <w:rPr>
          <w:rFonts w:cs="Times New Roman"/>
          <w:b/>
          <w:color w:val="000000"/>
          <w:shd w:val="clear" w:color="auto" w:fill="FFFFFF"/>
          <w:lang w:val="en-US"/>
        </w:rPr>
        <w:t xml:space="preserve">LRCM </w:t>
      </w:r>
      <w:r w:rsidRPr="00126182">
        <w:rPr>
          <w:rFonts w:cs="Times New Roman"/>
          <w:b/>
          <w:lang w:val="en-US"/>
        </w:rPr>
        <w:t>Strategy for 2013-2017</w:t>
      </w:r>
      <w:r w:rsidRPr="00126182">
        <w:rPr>
          <w:rFonts w:cs="Times New Roman"/>
          <w:lang w:val="en-US"/>
        </w:rPr>
        <w:t xml:space="preserve">: The </w:t>
      </w:r>
      <w:r w:rsidRPr="00126182">
        <w:rPr>
          <w:rFonts w:cs="Times New Roman"/>
          <w:color w:val="000000"/>
          <w:shd w:val="clear" w:color="auto" w:fill="FFFFFF"/>
          <w:lang w:val="en-US"/>
        </w:rPr>
        <w:t xml:space="preserve">LRCM </w:t>
      </w:r>
      <w:r w:rsidRPr="00126182">
        <w:rPr>
          <w:rFonts w:cs="Times New Roman"/>
          <w:lang w:val="en-US"/>
        </w:rPr>
        <w:t xml:space="preserve">Strategy for 2013-2017 was adopted by the </w:t>
      </w:r>
      <w:r w:rsidRPr="00126182">
        <w:rPr>
          <w:rFonts w:cs="Times New Roman"/>
          <w:color w:val="000000"/>
          <w:shd w:val="clear" w:color="auto" w:fill="FFFFFF"/>
          <w:lang w:val="en-US"/>
        </w:rPr>
        <w:t xml:space="preserve">LRCM </w:t>
      </w:r>
      <w:r w:rsidRPr="00126182">
        <w:rPr>
          <w:rFonts w:cs="Times New Roman"/>
          <w:lang w:val="en-US"/>
        </w:rPr>
        <w:t xml:space="preserve">Board of Administration in October 2013. According to the Strategy, the </w:t>
      </w:r>
      <w:r w:rsidRPr="00126182">
        <w:rPr>
          <w:rFonts w:cs="Times New Roman"/>
          <w:color w:val="000000"/>
          <w:shd w:val="clear" w:color="auto" w:fill="FFFFFF"/>
          <w:lang w:val="en-US"/>
        </w:rPr>
        <w:t xml:space="preserve">LRCM </w:t>
      </w:r>
      <w:r w:rsidRPr="00126182">
        <w:rPr>
          <w:rFonts w:cs="Times New Roman"/>
          <w:lang w:val="en-US"/>
        </w:rPr>
        <w:t xml:space="preserve">aimed to achieve the following goals: </w:t>
      </w:r>
    </w:p>
    <w:p w:rsidR="00422576" w:rsidRPr="00126182" w:rsidRDefault="00422576" w:rsidP="00422576">
      <w:pPr>
        <w:pStyle w:val="ListParagraph"/>
        <w:numPr>
          <w:ilvl w:val="0"/>
          <w:numId w:val="15"/>
        </w:numPr>
        <w:tabs>
          <w:tab w:val="left" w:pos="284"/>
        </w:tabs>
        <w:spacing w:after="0" w:line="288" w:lineRule="auto"/>
        <w:jc w:val="both"/>
        <w:rPr>
          <w:rFonts w:cs="Times New Roman"/>
          <w:lang w:val="en-US"/>
        </w:rPr>
      </w:pPr>
      <w:r w:rsidRPr="00126182">
        <w:rPr>
          <w:rFonts w:cs="Times New Roman"/>
          <w:lang w:val="en-US"/>
        </w:rPr>
        <w:t>Accountable and efficient judicial system in Moldova;</w:t>
      </w:r>
    </w:p>
    <w:p w:rsidR="00422576" w:rsidRPr="00126182" w:rsidRDefault="00422576" w:rsidP="00422576">
      <w:pPr>
        <w:pStyle w:val="ListParagraph"/>
        <w:numPr>
          <w:ilvl w:val="0"/>
          <w:numId w:val="15"/>
        </w:numPr>
        <w:tabs>
          <w:tab w:val="left" w:pos="284"/>
        </w:tabs>
        <w:spacing w:after="0" w:line="288" w:lineRule="auto"/>
        <w:jc w:val="both"/>
        <w:rPr>
          <w:rFonts w:cs="Times New Roman"/>
          <w:lang w:val="en-US"/>
        </w:rPr>
      </w:pPr>
      <w:r w:rsidRPr="00126182">
        <w:rPr>
          <w:rFonts w:cs="Times New Roman"/>
          <w:lang w:val="en-US"/>
        </w:rPr>
        <w:t>Effective enforcement of the ECHR in Moldova;</w:t>
      </w:r>
    </w:p>
    <w:p w:rsidR="00422576" w:rsidRPr="00126182" w:rsidRDefault="00422576" w:rsidP="00422576">
      <w:pPr>
        <w:pStyle w:val="ListParagraph"/>
        <w:numPr>
          <w:ilvl w:val="0"/>
          <w:numId w:val="15"/>
        </w:numPr>
        <w:tabs>
          <w:tab w:val="left" w:pos="284"/>
        </w:tabs>
        <w:spacing w:after="0" w:line="288" w:lineRule="auto"/>
        <w:jc w:val="both"/>
        <w:rPr>
          <w:rFonts w:cs="Times New Roman"/>
          <w:lang w:val="en-US"/>
        </w:rPr>
      </w:pPr>
      <w:r w:rsidRPr="00126182">
        <w:rPr>
          <w:rFonts w:cs="Times New Roman"/>
          <w:lang w:val="en-US"/>
        </w:rPr>
        <w:t>Moldova legislation and practice in line with the international standards on certain rights;</w:t>
      </w:r>
    </w:p>
    <w:p w:rsidR="00422576" w:rsidRPr="00126182" w:rsidRDefault="00422576" w:rsidP="00422576">
      <w:pPr>
        <w:pStyle w:val="ListParagraph"/>
        <w:numPr>
          <w:ilvl w:val="0"/>
          <w:numId w:val="15"/>
        </w:numPr>
        <w:tabs>
          <w:tab w:val="left" w:pos="284"/>
        </w:tabs>
        <w:spacing w:after="0" w:line="288" w:lineRule="auto"/>
        <w:jc w:val="both"/>
        <w:rPr>
          <w:rFonts w:cs="Times New Roman"/>
          <w:lang w:val="en-US"/>
        </w:rPr>
      </w:pPr>
      <w:r w:rsidRPr="00126182">
        <w:rPr>
          <w:rFonts w:cs="Times New Roman"/>
          <w:color w:val="000000"/>
          <w:shd w:val="clear" w:color="auto" w:fill="FFFFFF"/>
          <w:lang w:val="en-US"/>
        </w:rPr>
        <w:t xml:space="preserve">LRCM </w:t>
      </w:r>
      <w:r w:rsidRPr="00126182">
        <w:rPr>
          <w:rFonts w:cs="Times New Roman"/>
          <w:lang w:val="en-US"/>
        </w:rPr>
        <w:t xml:space="preserve">developed as a visible think tank and as a sustainable organization. </w:t>
      </w:r>
    </w:p>
    <w:p w:rsidR="007C37C9" w:rsidRPr="003512C6" w:rsidRDefault="007C37C9" w:rsidP="005E3583">
      <w:pPr>
        <w:spacing w:after="0" w:line="288" w:lineRule="auto"/>
        <w:ind w:firstLine="142"/>
        <w:jc w:val="both"/>
        <w:rPr>
          <w:rFonts w:cs="Times New Roman"/>
          <w:lang w:val="en-US"/>
        </w:rPr>
      </w:pPr>
    </w:p>
    <w:p w:rsidR="00006721" w:rsidRPr="003512C6" w:rsidRDefault="00006721" w:rsidP="00006721">
      <w:pPr>
        <w:pStyle w:val="ListParagraph"/>
        <w:numPr>
          <w:ilvl w:val="0"/>
          <w:numId w:val="14"/>
        </w:numPr>
        <w:tabs>
          <w:tab w:val="left" w:pos="284"/>
        </w:tabs>
        <w:spacing w:after="0" w:line="288" w:lineRule="auto"/>
        <w:ind w:left="0" w:firstLine="142"/>
        <w:jc w:val="both"/>
        <w:rPr>
          <w:rFonts w:cs="Times New Roman"/>
          <w:lang w:val="en-US"/>
        </w:rPr>
      </w:pPr>
      <w:r w:rsidRPr="003512C6">
        <w:rPr>
          <w:rFonts w:cs="Times New Roman"/>
          <w:b/>
          <w:color w:val="000000"/>
          <w:shd w:val="clear" w:color="auto" w:fill="FFFFFF"/>
          <w:lang w:val="en-US"/>
        </w:rPr>
        <w:t>The LRCM</w:t>
      </w:r>
      <w:r w:rsidRPr="003512C6">
        <w:rPr>
          <w:rFonts w:cs="Times New Roman"/>
          <w:b/>
          <w:lang w:val="en-US"/>
        </w:rPr>
        <w:t xml:space="preserve"> received from the East</w:t>
      </w:r>
      <w:r w:rsidR="00E141BF">
        <w:rPr>
          <w:rFonts w:cs="Times New Roman"/>
          <w:b/>
          <w:lang w:val="en-US"/>
        </w:rPr>
        <w:t xml:space="preserve"> </w:t>
      </w:r>
      <w:r w:rsidRPr="003512C6">
        <w:rPr>
          <w:rFonts w:cs="Times New Roman"/>
          <w:b/>
          <w:lang w:val="en-US"/>
        </w:rPr>
        <w:t xml:space="preserve">Europe Foundation a grant </w:t>
      </w:r>
      <w:r w:rsidRPr="003512C6">
        <w:rPr>
          <w:rFonts w:cs="Times New Roman"/>
          <w:lang w:val="en-US"/>
        </w:rPr>
        <w:t xml:space="preserve">that mostly </w:t>
      </w:r>
      <w:r w:rsidRPr="003512C6">
        <w:rPr>
          <w:rFonts w:cs="Times New Roman"/>
          <w:b/>
          <w:lang w:val="en-US"/>
        </w:rPr>
        <w:t xml:space="preserve">aims at the institutional strengthening of the organization. </w:t>
      </w:r>
    </w:p>
    <w:p w:rsidR="00F3442C" w:rsidRPr="00006721" w:rsidRDefault="00F3442C" w:rsidP="005E3583">
      <w:pPr>
        <w:spacing w:after="0" w:line="288" w:lineRule="auto"/>
        <w:ind w:firstLine="142"/>
        <w:jc w:val="both"/>
        <w:rPr>
          <w:rFonts w:cs="Times New Roman"/>
        </w:rPr>
      </w:pPr>
    </w:p>
    <w:p w:rsidR="00220965" w:rsidRPr="00A53958" w:rsidRDefault="00220965" w:rsidP="00220965">
      <w:pPr>
        <w:pStyle w:val="ListParagraph"/>
        <w:numPr>
          <w:ilvl w:val="0"/>
          <w:numId w:val="14"/>
        </w:numPr>
        <w:tabs>
          <w:tab w:val="left" w:pos="284"/>
        </w:tabs>
        <w:spacing w:after="0" w:line="288" w:lineRule="auto"/>
        <w:ind w:left="0" w:firstLine="142"/>
        <w:jc w:val="both"/>
        <w:rPr>
          <w:rFonts w:cs="Times New Roman"/>
          <w:lang w:val="en-US"/>
        </w:rPr>
      </w:pPr>
      <w:r w:rsidRPr="00036E7E">
        <w:rPr>
          <w:rFonts w:cs="Times New Roman"/>
          <w:b/>
          <w:lang w:val="en-US"/>
        </w:rPr>
        <w:t>Fundraising and Perspectives</w:t>
      </w:r>
      <w:r w:rsidRPr="00036E7E">
        <w:rPr>
          <w:rFonts w:cs="Times New Roman"/>
          <w:lang w:val="en-US"/>
        </w:rPr>
        <w:t xml:space="preserve">: All fundraising proposals made by the </w:t>
      </w:r>
      <w:r w:rsidRPr="00036E7E">
        <w:rPr>
          <w:rFonts w:cs="Times New Roman"/>
          <w:color w:val="000000"/>
          <w:shd w:val="clear" w:color="auto" w:fill="FFFFFF"/>
          <w:lang w:val="en-US"/>
        </w:rPr>
        <w:t>LRCM</w:t>
      </w:r>
      <w:r w:rsidRPr="00036E7E">
        <w:rPr>
          <w:rFonts w:cs="Times New Roman"/>
          <w:lang w:val="en-US"/>
        </w:rPr>
        <w:t xml:space="preserve"> in 2013 were accepted. This made it possible to cover about 90% of the </w:t>
      </w:r>
      <w:r w:rsidRPr="00036E7E">
        <w:rPr>
          <w:rFonts w:cs="Times New Roman"/>
          <w:color w:val="000000"/>
          <w:shd w:val="clear" w:color="auto" w:fill="FFFFFF"/>
          <w:lang w:val="en-US"/>
        </w:rPr>
        <w:t xml:space="preserve">LRCM </w:t>
      </w:r>
      <w:r w:rsidRPr="00036E7E">
        <w:rPr>
          <w:rFonts w:cs="Times New Roman"/>
          <w:lang w:val="en-US"/>
        </w:rPr>
        <w:t xml:space="preserve">budget for 2014. </w:t>
      </w:r>
      <w:commentRangeStart w:id="15"/>
      <w:r w:rsidRPr="00036E7E">
        <w:rPr>
          <w:rFonts w:cs="Times New Roman"/>
          <w:lang w:val="en-US"/>
        </w:rPr>
        <w:t xml:space="preserve">Also, the </w:t>
      </w:r>
      <w:r w:rsidRPr="00036E7E">
        <w:rPr>
          <w:rFonts w:cs="Times New Roman"/>
          <w:color w:val="000000"/>
          <w:shd w:val="clear" w:color="auto" w:fill="FFFFFF"/>
          <w:lang w:val="en-US"/>
        </w:rPr>
        <w:t xml:space="preserve">LRCM </w:t>
      </w:r>
      <w:r w:rsidRPr="00036E7E">
        <w:rPr>
          <w:rFonts w:cs="Times New Roman"/>
          <w:lang w:val="en-US"/>
        </w:rPr>
        <w:t xml:space="preserve">budget for 2014 will </w:t>
      </w:r>
      <w:commentRangeEnd w:id="15"/>
      <w:r w:rsidR="00036E7E">
        <w:rPr>
          <w:rStyle w:val="CommentReference"/>
        </w:rPr>
        <w:commentReference w:id="15"/>
      </w:r>
      <w:r w:rsidRPr="00036E7E">
        <w:rPr>
          <w:rFonts w:cs="Times New Roman"/>
          <w:lang w:val="en-US"/>
        </w:rPr>
        <w:t xml:space="preserve">increase by more than 100% as compared to its 2013 budget. Moreover, the grants received in 2013 covered a period larger than 9 months and allow extending the cooperation with the same donors after the implementation of </w:t>
      </w:r>
      <w:r w:rsidRPr="00A53958">
        <w:rPr>
          <w:rFonts w:cs="Times New Roman"/>
          <w:lang w:val="en-US"/>
        </w:rPr>
        <w:t xml:space="preserve">the respective projects. </w:t>
      </w:r>
    </w:p>
    <w:p w:rsidR="009D51B3" w:rsidRPr="00A53958" w:rsidRDefault="009D51B3" w:rsidP="00036E7E">
      <w:pPr>
        <w:tabs>
          <w:tab w:val="left" w:pos="284"/>
        </w:tabs>
        <w:spacing w:after="0" w:line="288" w:lineRule="auto"/>
        <w:jc w:val="both"/>
        <w:rPr>
          <w:rFonts w:cs="Times New Roman"/>
          <w:lang w:val="en-US"/>
        </w:rPr>
      </w:pPr>
    </w:p>
    <w:p w:rsidR="00675D2C" w:rsidRPr="00A53958" w:rsidRDefault="00675D2C" w:rsidP="00675D2C">
      <w:pPr>
        <w:pStyle w:val="ListParagraph"/>
        <w:numPr>
          <w:ilvl w:val="0"/>
          <w:numId w:val="14"/>
        </w:numPr>
        <w:tabs>
          <w:tab w:val="left" w:pos="284"/>
        </w:tabs>
        <w:spacing w:after="0" w:line="288" w:lineRule="auto"/>
        <w:ind w:left="0" w:firstLine="142"/>
        <w:jc w:val="both"/>
        <w:rPr>
          <w:rFonts w:cs="Times New Roman"/>
          <w:lang w:val="en-US"/>
        </w:rPr>
      </w:pPr>
      <w:r w:rsidRPr="00A53958">
        <w:rPr>
          <w:rFonts w:cs="Times New Roman"/>
          <w:b/>
          <w:lang w:val="en-US"/>
        </w:rPr>
        <w:t xml:space="preserve">The transfer from project-based activities to activities based on annual action plans </w:t>
      </w:r>
      <w:r w:rsidRPr="00A53958">
        <w:rPr>
          <w:rFonts w:cs="Times New Roman"/>
          <w:lang w:val="en-US"/>
        </w:rPr>
        <w:t>allowed for a better planning of activities for 2014 and for developing a realist</w:t>
      </w:r>
      <w:bookmarkStart w:id="16" w:name="_GoBack"/>
      <w:bookmarkEnd w:id="16"/>
      <w:r w:rsidRPr="00A53958">
        <w:rPr>
          <w:rFonts w:cs="Times New Roman"/>
          <w:lang w:val="en-US"/>
        </w:rPr>
        <w:t xml:space="preserve">ic budget for the organization. </w:t>
      </w:r>
    </w:p>
    <w:p w:rsidR="000C0EFA" w:rsidRDefault="00C22D59" w:rsidP="0070763D">
      <w:pPr>
        <w:spacing w:after="0" w:line="288" w:lineRule="auto"/>
        <w:rPr>
          <w:rFonts w:eastAsia="SimSun" w:cs="Times New Roman"/>
          <w:b/>
          <w:lang w:val="ro-MO" w:eastAsia="zh-CN"/>
        </w:rPr>
      </w:pPr>
      <w:r w:rsidRPr="00A53958">
        <w:rPr>
          <w:rFonts w:cs="Times New Roman"/>
          <w:lang w:val="en-US"/>
        </w:rPr>
        <w:br w:type="page"/>
      </w:r>
      <w:r w:rsidR="00EE7384" w:rsidRPr="00EE7384">
        <w:rPr>
          <w:rFonts w:cs="Times New Roman"/>
          <w:b/>
          <w:lang w:val="en-US"/>
        </w:rPr>
        <w:lastRenderedPageBreak/>
        <w:t>LRCM balance sheet:</w:t>
      </w:r>
      <w:r w:rsidR="00EE7384">
        <w:rPr>
          <w:rFonts w:cs="Times New Roman"/>
          <w:lang w:val="en-US"/>
        </w:rPr>
        <w:t xml:space="preserve"> </w:t>
      </w:r>
      <w:r w:rsidR="000C0EFA" w:rsidRPr="00D2304A">
        <w:rPr>
          <w:rFonts w:eastAsia="SimSun" w:cs="Times New Roman"/>
          <w:b/>
          <w:lang w:val="ro-MO" w:eastAsia="zh-CN"/>
        </w:rPr>
        <w:t>2012 şi 2013</w:t>
      </w:r>
      <w:r w:rsidR="000C0EFA" w:rsidRPr="00D2304A">
        <w:rPr>
          <w:rStyle w:val="FootnoteReference"/>
          <w:rFonts w:eastAsia="SimSun" w:cs="Times New Roman"/>
          <w:b/>
          <w:lang w:val="ro-MO" w:eastAsia="zh-CN"/>
        </w:rPr>
        <w:footnoteReference w:id="2"/>
      </w:r>
    </w:p>
    <w:p w:rsidR="00BA4258" w:rsidRPr="00D2304A" w:rsidRDefault="00BA4258" w:rsidP="0070763D">
      <w:pPr>
        <w:spacing w:after="0" w:line="288" w:lineRule="auto"/>
        <w:rPr>
          <w:rFonts w:ascii="Arial" w:hAnsi="Arial" w:cs="Arial"/>
          <w:b/>
          <w:lang w:val="ro-MO"/>
        </w:rPr>
      </w:pPr>
    </w:p>
    <w:p w:rsidR="00FF06C8" w:rsidRPr="00D2304A" w:rsidRDefault="00FF06C8" w:rsidP="00BA4258">
      <w:pPr>
        <w:spacing w:after="0" w:line="240" w:lineRule="auto"/>
        <w:rPr>
          <w:rFonts w:eastAsia="SimSun" w:cs="Times New Roman"/>
          <w:sz w:val="20"/>
          <w:szCs w:val="20"/>
          <w:lang w:val="ro-MO" w:eastAsia="zh-CN"/>
        </w:rPr>
      </w:pPr>
    </w:p>
    <w:tbl>
      <w:tblPr>
        <w:tblW w:w="9746" w:type="dxa"/>
        <w:tblInd w:w="108" w:type="dxa"/>
        <w:tblLook w:val="0000"/>
      </w:tblPr>
      <w:tblGrid>
        <w:gridCol w:w="7879"/>
        <w:gridCol w:w="563"/>
        <w:gridCol w:w="644"/>
        <w:gridCol w:w="660"/>
      </w:tblGrid>
      <w:tr w:rsidR="00BA4258" w:rsidRPr="00D2304A" w:rsidTr="00BA4258">
        <w:trPr>
          <w:trHeight w:val="95"/>
        </w:trPr>
        <w:tc>
          <w:tcPr>
            <w:tcW w:w="7693" w:type="dxa"/>
            <w:tcBorders>
              <w:top w:val="nil"/>
              <w:left w:val="nil"/>
              <w:bottom w:val="nil"/>
              <w:right w:val="nil"/>
            </w:tcBorders>
            <w:shd w:val="clear" w:color="auto" w:fill="auto"/>
            <w:noWrap/>
            <w:vAlign w:val="bottom"/>
          </w:tcPr>
          <w:tbl>
            <w:tblPr>
              <w:tblW w:w="8587" w:type="dxa"/>
              <w:tblInd w:w="102" w:type="dxa"/>
              <w:tblLook w:val="0000"/>
            </w:tblPr>
            <w:tblGrid>
              <w:gridCol w:w="3315"/>
              <w:gridCol w:w="1258"/>
              <w:gridCol w:w="1433"/>
              <w:gridCol w:w="1555"/>
            </w:tblGrid>
            <w:tr w:rsidR="00BA4258" w:rsidRPr="00BA4258" w:rsidTr="004912C2">
              <w:trPr>
                <w:trHeight w:val="264"/>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b/>
                      <w:bCs/>
                      <w:sz w:val="20"/>
                      <w:szCs w:val="20"/>
                      <w:lang w:val="en-GB" w:eastAsia="en-US"/>
                    </w:rPr>
                    <w:t>Note</w:t>
                  </w: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val="en-GB" w:eastAsia="en-US"/>
                    </w:rPr>
                  </w:pPr>
                  <w:r w:rsidRPr="00BA4258">
                    <w:rPr>
                      <w:rFonts w:ascii="Arial" w:hAnsi="Arial" w:cs="Arial"/>
                      <w:b/>
                      <w:bCs/>
                      <w:sz w:val="20"/>
                      <w:szCs w:val="20"/>
                      <w:lang w:val="en-GB" w:eastAsia="en-US"/>
                    </w:rPr>
                    <w:t>2012</w:t>
                  </w: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val="en-GB" w:eastAsia="en-US"/>
                    </w:rPr>
                  </w:pPr>
                  <w:r w:rsidRPr="00BA4258">
                    <w:rPr>
                      <w:rFonts w:ascii="Arial" w:hAnsi="Arial" w:cs="Arial"/>
                      <w:b/>
                      <w:bCs/>
                      <w:sz w:val="20"/>
                      <w:szCs w:val="20"/>
                      <w:lang w:val="en-GB" w:eastAsia="en-US"/>
                    </w:rPr>
                    <w:t>2013</w:t>
                  </w:r>
                </w:p>
              </w:tc>
            </w:tr>
            <w:tr w:rsidR="00BA4258" w:rsidRPr="00BA4258" w:rsidTr="004912C2">
              <w:trPr>
                <w:trHeight w:val="264"/>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val="en-GB" w:eastAsia="en-US"/>
                    </w:rPr>
                  </w:pP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val="en-GB" w:eastAsia="en-US"/>
                    </w:rPr>
                  </w:pP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b/>
                      <w:bCs/>
                      <w:sz w:val="20"/>
                      <w:szCs w:val="20"/>
                      <w:lang w:val="en-GB" w:eastAsia="en-US"/>
                    </w:rPr>
                    <w:t>Long-term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val="en-GB" w:eastAsia="en-US"/>
                    </w:rPr>
                  </w:pP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val="en-GB" w:eastAsia="en-US"/>
                    </w:rPr>
                  </w:pP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i/>
                      <w:iCs/>
                      <w:sz w:val="20"/>
                      <w:szCs w:val="20"/>
                      <w:lang w:val="en-GB" w:eastAsia="en-US"/>
                    </w:rPr>
                  </w:pPr>
                  <w:r w:rsidRPr="00BA4258">
                    <w:rPr>
                      <w:rFonts w:ascii="Arial" w:hAnsi="Arial" w:cs="Arial"/>
                      <w:i/>
                      <w:iCs/>
                      <w:sz w:val="20"/>
                      <w:szCs w:val="20"/>
                      <w:lang w:val="en-GB" w:eastAsia="en-US"/>
                    </w:rPr>
                    <w:t>Intangible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val="en-GB" w:eastAsia="en-US"/>
                    </w:rPr>
                  </w:pP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val="en-GB" w:eastAsia="en-US"/>
                    </w:rPr>
                  </w:pP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 xml:space="preserve">Intangible assets </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62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18,528</w:t>
                  </w:r>
                </w:p>
              </w:tc>
              <w:tc>
                <w:tcPr>
                  <w:tcW w:w="176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20,768</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Amortisation of intangible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62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(3,666)</w:t>
                  </w:r>
                </w:p>
              </w:tc>
              <w:tc>
                <w:tcPr>
                  <w:tcW w:w="176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(10,402)</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 xml:space="preserve">Net book value of intangible assets </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r w:rsidRPr="00BA4258">
                    <w:rPr>
                      <w:rFonts w:ascii="Arial" w:hAnsi="Arial" w:cs="Arial"/>
                      <w:sz w:val="20"/>
                      <w:szCs w:val="20"/>
                      <w:lang w:val="en-GB" w:eastAsia="en-US"/>
                    </w:rPr>
                    <w:t>2</w:t>
                  </w:r>
                </w:p>
              </w:tc>
              <w:tc>
                <w:tcPr>
                  <w:tcW w:w="1620" w:type="dxa"/>
                  <w:tcBorders>
                    <w:top w:val="single" w:sz="4" w:space="0" w:color="auto"/>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i/>
                      <w:iCs/>
                      <w:sz w:val="20"/>
                      <w:szCs w:val="20"/>
                    </w:rPr>
                  </w:pPr>
                  <w:r w:rsidRPr="00BA4258">
                    <w:rPr>
                      <w:rFonts w:ascii="Arial" w:hAnsi="Arial" w:cs="Arial"/>
                      <w:i/>
                      <w:iCs/>
                      <w:sz w:val="20"/>
                      <w:szCs w:val="20"/>
                    </w:rPr>
                    <w:t>14,862</w:t>
                  </w:r>
                </w:p>
              </w:tc>
              <w:tc>
                <w:tcPr>
                  <w:tcW w:w="1760" w:type="dxa"/>
                  <w:tcBorders>
                    <w:top w:val="single" w:sz="4" w:space="0" w:color="auto"/>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i/>
                      <w:iCs/>
                      <w:sz w:val="20"/>
                      <w:szCs w:val="20"/>
                    </w:rPr>
                  </w:pPr>
                  <w:r w:rsidRPr="00BA4258">
                    <w:rPr>
                      <w:rFonts w:ascii="Arial" w:hAnsi="Arial" w:cs="Arial"/>
                      <w:i/>
                      <w:iCs/>
                      <w:sz w:val="20"/>
                      <w:szCs w:val="20"/>
                    </w:rPr>
                    <w:t>10,366</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p>
              </w:tc>
              <w:tc>
                <w:tcPr>
                  <w:tcW w:w="1760" w:type="dxa"/>
                  <w:tcBorders>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i/>
                      <w:iCs/>
                      <w:sz w:val="20"/>
                      <w:szCs w:val="20"/>
                      <w:lang w:val="en-GB" w:eastAsia="en-US"/>
                    </w:rPr>
                  </w:pPr>
                  <w:r w:rsidRPr="00BA4258">
                    <w:rPr>
                      <w:rFonts w:ascii="Arial" w:hAnsi="Arial" w:cs="Arial"/>
                      <w:i/>
                      <w:iCs/>
                      <w:sz w:val="20"/>
                      <w:szCs w:val="20"/>
                      <w:lang w:val="en-GB" w:eastAsia="en-US"/>
                    </w:rPr>
                    <w:t>Tangible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 xml:space="preserve">Tangible assets </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71,994</w:t>
                  </w:r>
                </w:p>
              </w:tc>
              <w:tc>
                <w:tcPr>
                  <w:tcW w:w="176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123,042</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Depreciation of tangible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(14,508)</w:t>
                  </w:r>
                </w:p>
              </w:tc>
              <w:tc>
                <w:tcPr>
                  <w:tcW w:w="176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(42,875)</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Net book value of tangible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r w:rsidRPr="00BA4258">
                    <w:rPr>
                      <w:rFonts w:ascii="Arial" w:hAnsi="Arial" w:cs="Arial"/>
                      <w:sz w:val="20"/>
                      <w:szCs w:val="20"/>
                      <w:lang w:val="en-GB" w:eastAsia="en-US"/>
                    </w:rPr>
                    <w:t>3</w:t>
                  </w:r>
                </w:p>
              </w:tc>
              <w:tc>
                <w:tcPr>
                  <w:tcW w:w="1620" w:type="dxa"/>
                  <w:tcBorders>
                    <w:top w:val="single" w:sz="4" w:space="0" w:color="auto"/>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i/>
                      <w:iCs/>
                      <w:sz w:val="20"/>
                      <w:szCs w:val="20"/>
                    </w:rPr>
                  </w:pPr>
                  <w:r w:rsidRPr="00BA4258">
                    <w:rPr>
                      <w:rFonts w:ascii="Arial" w:hAnsi="Arial" w:cs="Arial"/>
                      <w:i/>
                      <w:iCs/>
                      <w:sz w:val="20"/>
                      <w:szCs w:val="20"/>
                    </w:rPr>
                    <w:t>57,486</w:t>
                  </w:r>
                </w:p>
              </w:tc>
              <w:tc>
                <w:tcPr>
                  <w:tcW w:w="1760" w:type="dxa"/>
                  <w:tcBorders>
                    <w:top w:val="single" w:sz="4" w:space="0" w:color="auto"/>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i/>
                      <w:iCs/>
                      <w:sz w:val="20"/>
                      <w:szCs w:val="20"/>
                    </w:rPr>
                  </w:pPr>
                  <w:r w:rsidRPr="00BA4258">
                    <w:rPr>
                      <w:rFonts w:ascii="Arial" w:hAnsi="Arial" w:cs="Arial"/>
                      <w:i/>
                      <w:iCs/>
                      <w:sz w:val="20"/>
                      <w:szCs w:val="20"/>
                    </w:rPr>
                    <w:t xml:space="preserve">80,167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i/>
                      <w:iCs/>
                      <w:sz w:val="20"/>
                      <w:szCs w:val="20"/>
                    </w:rPr>
                  </w:pPr>
                </w:p>
              </w:tc>
              <w:tc>
                <w:tcPr>
                  <w:tcW w:w="1760" w:type="dxa"/>
                  <w:tcBorders>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i/>
                      <w:iCs/>
                      <w:sz w:val="20"/>
                      <w:szCs w:val="20"/>
                    </w:rPr>
                  </w:pPr>
                  <w:r w:rsidRPr="00BA4258">
                    <w:rPr>
                      <w:rFonts w:ascii="Arial" w:hAnsi="Arial" w:cs="Arial"/>
                      <w:i/>
                      <w:iCs/>
                      <w:sz w:val="20"/>
                      <w:szCs w:val="20"/>
                    </w:rPr>
                    <w:t>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i/>
                      <w:iCs/>
                      <w:sz w:val="20"/>
                      <w:szCs w:val="20"/>
                      <w:lang w:val="en-GB" w:eastAsia="en-US"/>
                    </w:rPr>
                  </w:pPr>
                  <w:r w:rsidRPr="00BA4258">
                    <w:rPr>
                      <w:rFonts w:ascii="Arial" w:hAnsi="Arial" w:cs="Arial"/>
                      <w:b/>
                      <w:bCs/>
                      <w:i/>
                      <w:iCs/>
                      <w:sz w:val="20"/>
                      <w:szCs w:val="20"/>
                      <w:lang w:val="en-GB" w:eastAsia="en-US"/>
                    </w:rPr>
                    <w:t>Total long-term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b/>
                      <w:bCs/>
                      <w:i/>
                      <w:iCs/>
                      <w:sz w:val="20"/>
                      <w:szCs w:val="20"/>
                      <w:lang w:val="en-GB" w:eastAsia="en-US"/>
                    </w:rPr>
                  </w:pPr>
                </w:p>
              </w:tc>
              <w:tc>
                <w:tcPr>
                  <w:tcW w:w="1620" w:type="dxa"/>
                  <w:tcBorders>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i/>
                      <w:iCs/>
                      <w:sz w:val="20"/>
                      <w:szCs w:val="20"/>
                    </w:rPr>
                  </w:pPr>
                  <w:r w:rsidRPr="00BA4258">
                    <w:rPr>
                      <w:rFonts w:ascii="Arial" w:hAnsi="Arial" w:cs="Arial"/>
                      <w:b/>
                      <w:bCs/>
                      <w:i/>
                      <w:iCs/>
                      <w:sz w:val="20"/>
                      <w:szCs w:val="20"/>
                    </w:rPr>
                    <w:t>72,348</w:t>
                  </w:r>
                </w:p>
              </w:tc>
              <w:tc>
                <w:tcPr>
                  <w:tcW w:w="1760" w:type="dxa"/>
                  <w:tcBorders>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i/>
                      <w:iCs/>
                      <w:sz w:val="20"/>
                      <w:szCs w:val="20"/>
                    </w:rPr>
                  </w:pPr>
                  <w:r w:rsidRPr="00BA4258">
                    <w:rPr>
                      <w:rFonts w:ascii="Arial" w:hAnsi="Arial" w:cs="Arial"/>
                      <w:b/>
                      <w:bCs/>
                      <w:i/>
                      <w:iCs/>
                      <w:sz w:val="20"/>
                      <w:szCs w:val="20"/>
                    </w:rPr>
                    <w:t>90,533</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p>
              </w:tc>
              <w:tc>
                <w:tcPr>
                  <w:tcW w:w="1760" w:type="dxa"/>
                  <w:tcBorders>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b/>
                      <w:bCs/>
                      <w:sz w:val="20"/>
                      <w:szCs w:val="20"/>
                      <w:lang w:val="en-GB" w:eastAsia="en-US"/>
                    </w:rPr>
                    <w:t>Current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b/>
                      <w:bCs/>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sz w:val="20"/>
                      <w:szCs w:val="20"/>
                    </w:rPr>
                  </w:pP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sz w:val="20"/>
                      <w:szCs w:val="20"/>
                    </w:rPr>
                  </w:pPr>
                  <w:r w:rsidRPr="00BA4258">
                    <w:rPr>
                      <w:rFonts w:ascii="Arial" w:hAnsi="Arial" w:cs="Arial"/>
                      <w:b/>
                      <w:bCs/>
                      <w:sz w:val="20"/>
                      <w:szCs w:val="20"/>
                    </w:rPr>
                    <w:t>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Short term receivables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r w:rsidRPr="00BA4258">
                    <w:rPr>
                      <w:rFonts w:ascii="Arial" w:hAnsi="Arial" w:cs="Arial"/>
                      <w:sz w:val="20"/>
                      <w:szCs w:val="20"/>
                      <w:lang w:val="en-GB" w:eastAsia="en-US"/>
                    </w:rPr>
                    <w:t>4</w:t>
                  </w: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46,795</w:t>
                  </w: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19,073</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Cash and bank</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r w:rsidRPr="00BA4258">
                    <w:rPr>
                      <w:rFonts w:ascii="Arial" w:hAnsi="Arial" w:cs="Arial"/>
                      <w:sz w:val="20"/>
                      <w:szCs w:val="20"/>
                      <w:lang w:val="en-GB" w:eastAsia="en-US"/>
                    </w:rPr>
                    <w:t>5</w:t>
                  </w:r>
                </w:p>
              </w:tc>
              <w:tc>
                <w:tcPr>
                  <w:tcW w:w="162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638,130</w:t>
                  </w:r>
                </w:p>
              </w:tc>
              <w:tc>
                <w:tcPr>
                  <w:tcW w:w="176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1,103,112</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Other current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2,388</w:t>
                  </w:r>
                </w:p>
              </w:tc>
              <w:tc>
                <w:tcPr>
                  <w:tcW w:w="176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xml:space="preserve">2,520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i/>
                      <w:iCs/>
                      <w:sz w:val="20"/>
                      <w:szCs w:val="20"/>
                      <w:lang w:val="en-GB" w:eastAsia="en-US"/>
                    </w:rPr>
                  </w:pPr>
                  <w:r w:rsidRPr="00BA4258">
                    <w:rPr>
                      <w:rFonts w:ascii="Arial" w:hAnsi="Arial" w:cs="Arial"/>
                      <w:b/>
                      <w:bCs/>
                      <w:i/>
                      <w:iCs/>
                      <w:sz w:val="20"/>
                      <w:szCs w:val="20"/>
                      <w:lang w:val="en-GB" w:eastAsia="en-US"/>
                    </w:rPr>
                    <w:t>Total current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b/>
                      <w:bCs/>
                      <w:i/>
                      <w:iCs/>
                      <w:sz w:val="20"/>
                      <w:szCs w:val="20"/>
                      <w:lang w:val="en-GB" w:eastAsia="en-US"/>
                    </w:rPr>
                  </w:pPr>
                </w:p>
              </w:tc>
              <w:tc>
                <w:tcPr>
                  <w:tcW w:w="1620" w:type="dxa"/>
                  <w:tcBorders>
                    <w:top w:val="single" w:sz="4" w:space="0" w:color="auto"/>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i/>
                      <w:iCs/>
                      <w:sz w:val="20"/>
                      <w:szCs w:val="20"/>
                    </w:rPr>
                  </w:pPr>
                  <w:r w:rsidRPr="00BA4258">
                    <w:rPr>
                      <w:rFonts w:ascii="Arial" w:hAnsi="Arial" w:cs="Arial"/>
                      <w:b/>
                      <w:bCs/>
                      <w:i/>
                      <w:iCs/>
                      <w:sz w:val="20"/>
                      <w:szCs w:val="20"/>
                    </w:rPr>
                    <w:t>687,313</w:t>
                  </w:r>
                </w:p>
              </w:tc>
              <w:tc>
                <w:tcPr>
                  <w:tcW w:w="1760" w:type="dxa"/>
                  <w:tcBorders>
                    <w:top w:val="single" w:sz="4" w:space="0" w:color="auto"/>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i/>
                      <w:iCs/>
                      <w:sz w:val="20"/>
                      <w:szCs w:val="20"/>
                    </w:rPr>
                  </w:pPr>
                  <w:r w:rsidRPr="00BA4258">
                    <w:rPr>
                      <w:rFonts w:ascii="Arial" w:hAnsi="Arial" w:cs="Arial"/>
                      <w:b/>
                      <w:bCs/>
                      <w:i/>
                      <w:iCs/>
                      <w:sz w:val="20"/>
                      <w:szCs w:val="20"/>
                    </w:rPr>
                    <w:t>1,124,705</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p>
              </w:tc>
              <w:tc>
                <w:tcPr>
                  <w:tcW w:w="176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b/>
                      <w:bCs/>
                      <w:sz w:val="20"/>
                      <w:szCs w:val="20"/>
                      <w:lang w:val="en-GB" w:eastAsia="en-US"/>
                    </w:rPr>
                    <w:t>Total assets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b/>
                      <w:bCs/>
                      <w:sz w:val="20"/>
                      <w:szCs w:val="20"/>
                      <w:lang w:val="en-GB" w:eastAsia="en-US"/>
                    </w:rPr>
                  </w:pPr>
                </w:p>
              </w:tc>
              <w:tc>
                <w:tcPr>
                  <w:tcW w:w="1620" w:type="dxa"/>
                  <w:tcBorders>
                    <w:top w:val="single" w:sz="4" w:space="0" w:color="auto"/>
                    <w:left w:val="nil"/>
                    <w:bottom w:val="doub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sz w:val="20"/>
                      <w:szCs w:val="20"/>
                    </w:rPr>
                  </w:pPr>
                  <w:r w:rsidRPr="00BA4258">
                    <w:rPr>
                      <w:rFonts w:ascii="Arial" w:hAnsi="Arial" w:cs="Arial"/>
                      <w:b/>
                      <w:bCs/>
                      <w:sz w:val="20"/>
                      <w:szCs w:val="20"/>
                    </w:rPr>
                    <w:t>759,661</w:t>
                  </w:r>
                </w:p>
              </w:tc>
              <w:tc>
                <w:tcPr>
                  <w:tcW w:w="1760" w:type="dxa"/>
                  <w:tcBorders>
                    <w:top w:val="single" w:sz="4" w:space="0" w:color="auto"/>
                    <w:left w:val="nil"/>
                    <w:bottom w:val="doub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sz w:val="20"/>
                      <w:szCs w:val="20"/>
                    </w:rPr>
                  </w:pPr>
                  <w:r w:rsidRPr="00BA4258">
                    <w:rPr>
                      <w:rFonts w:ascii="Arial" w:hAnsi="Arial" w:cs="Arial"/>
                      <w:b/>
                      <w:bCs/>
                      <w:sz w:val="20"/>
                      <w:szCs w:val="20"/>
                    </w:rPr>
                    <w:t>1,215,238</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double" w:sz="4" w:space="0" w:color="auto"/>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sz w:val="20"/>
                      <w:szCs w:val="20"/>
                      <w:lang w:eastAsia="en-US"/>
                    </w:rPr>
                  </w:pPr>
                </w:p>
              </w:tc>
              <w:tc>
                <w:tcPr>
                  <w:tcW w:w="1760" w:type="dxa"/>
                  <w:tcBorders>
                    <w:top w:val="double" w:sz="4" w:space="0" w:color="auto"/>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sz w:val="20"/>
                      <w:szCs w:val="20"/>
                      <w:lang w:eastAsia="en-US"/>
                    </w:rPr>
                  </w:pP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b/>
                      <w:bCs/>
                      <w:sz w:val="20"/>
                      <w:szCs w:val="20"/>
                      <w:lang w:val="en-GB" w:eastAsia="en-US"/>
                    </w:rPr>
                    <w:t>Equity and liabilities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b/>
                      <w:bCs/>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eastAsia="en-US"/>
                    </w:rPr>
                  </w:pP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b/>
                      <w:bCs/>
                      <w:sz w:val="20"/>
                      <w:szCs w:val="20"/>
                      <w:lang w:eastAsia="en-US"/>
                    </w:rPr>
                  </w:pP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b/>
                      <w:bCs/>
                      <w:sz w:val="20"/>
                      <w:szCs w:val="20"/>
                      <w:lang w:val="en-GB" w:eastAsia="en-US"/>
                    </w:rPr>
                    <w:t>Capital</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b/>
                      <w:bCs/>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sz w:val="20"/>
                      <w:szCs w:val="20"/>
                      <w:lang w:eastAsia="en-US"/>
                    </w:rPr>
                  </w:pP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rPr>
                      <w:rFonts w:ascii="Arial" w:hAnsi="Arial" w:cs="Arial"/>
                      <w:sz w:val="20"/>
                      <w:szCs w:val="20"/>
                      <w:lang w:eastAsia="en-US"/>
                    </w:rPr>
                  </w:pP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Subvention</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b/>
                      <w:bCs/>
                      <w:i/>
                      <w:iCs/>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72,348</w:t>
                  </w: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90,533</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i/>
                      <w:iCs/>
                      <w:sz w:val="20"/>
                      <w:szCs w:val="20"/>
                      <w:lang w:val="en-GB" w:eastAsia="en-US"/>
                    </w:rPr>
                  </w:pPr>
                  <w:r w:rsidRPr="00BA4258">
                    <w:rPr>
                      <w:rFonts w:ascii="Arial" w:hAnsi="Arial" w:cs="Arial"/>
                      <w:b/>
                      <w:bCs/>
                      <w:i/>
                      <w:iCs/>
                      <w:sz w:val="20"/>
                      <w:szCs w:val="20"/>
                      <w:lang w:val="en-GB" w:eastAsia="en-US"/>
                    </w:rPr>
                    <w:t>Total equity</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single" w:sz="4" w:space="0" w:color="auto"/>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i/>
                      <w:iCs/>
                      <w:sz w:val="20"/>
                      <w:szCs w:val="20"/>
                    </w:rPr>
                  </w:pPr>
                  <w:r w:rsidRPr="00BA4258">
                    <w:rPr>
                      <w:rFonts w:ascii="Arial" w:hAnsi="Arial" w:cs="Arial"/>
                      <w:b/>
                      <w:bCs/>
                      <w:i/>
                      <w:iCs/>
                      <w:sz w:val="20"/>
                      <w:szCs w:val="20"/>
                    </w:rPr>
                    <w:t>72,348</w:t>
                  </w:r>
                </w:p>
              </w:tc>
              <w:tc>
                <w:tcPr>
                  <w:tcW w:w="1760" w:type="dxa"/>
                  <w:tcBorders>
                    <w:top w:val="single" w:sz="4" w:space="0" w:color="auto"/>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i/>
                      <w:iCs/>
                      <w:sz w:val="20"/>
                      <w:szCs w:val="20"/>
                    </w:rPr>
                  </w:pPr>
                  <w:r w:rsidRPr="00BA4258">
                    <w:rPr>
                      <w:rFonts w:ascii="Arial" w:hAnsi="Arial" w:cs="Arial"/>
                      <w:b/>
                      <w:bCs/>
                      <w:i/>
                      <w:iCs/>
                      <w:sz w:val="20"/>
                      <w:szCs w:val="20"/>
                    </w:rPr>
                    <w:t>90,533</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p>
              </w:tc>
              <w:tc>
                <w:tcPr>
                  <w:tcW w:w="1760"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b/>
                      <w:bCs/>
                      <w:sz w:val="20"/>
                      <w:szCs w:val="20"/>
                      <w:lang w:val="en-GB" w:eastAsia="en-US"/>
                    </w:rPr>
                    <w:t>Liabilities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p>
              </w:tc>
              <w:tc>
                <w:tcPr>
                  <w:tcW w:w="162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p>
              </w:tc>
              <w:tc>
                <w:tcPr>
                  <w:tcW w:w="176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sz w:val="20"/>
                      <w:szCs w:val="20"/>
                      <w:lang w:val="en-GB" w:eastAsia="en-US"/>
                    </w:rPr>
                    <w:t>Long-term liabilities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r w:rsidRPr="00BA4258">
                    <w:rPr>
                      <w:rFonts w:ascii="Arial" w:hAnsi="Arial" w:cs="Arial"/>
                      <w:sz w:val="20"/>
                      <w:szCs w:val="20"/>
                      <w:lang w:val="en-GB" w:eastAsia="en-US"/>
                    </w:rPr>
                    <w:t>6</w:t>
                  </w:r>
                </w:p>
              </w:tc>
              <w:tc>
                <w:tcPr>
                  <w:tcW w:w="162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638,130</w:t>
                  </w:r>
                </w:p>
              </w:tc>
              <w:tc>
                <w:tcPr>
                  <w:tcW w:w="1760" w:type="dxa"/>
                  <w:tcBorders>
                    <w:top w:val="nil"/>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1,103,112</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r w:rsidRPr="00BA4258">
                    <w:rPr>
                      <w:rFonts w:ascii="Arial" w:hAnsi="Arial" w:cs="Arial"/>
                      <w:sz w:val="20"/>
                      <w:szCs w:val="20"/>
                      <w:lang w:val="en-GB" w:eastAsia="en-US"/>
                    </w:rPr>
                    <w:t>Short-term liabilities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jc w:val="center"/>
                    <w:rPr>
                      <w:rFonts w:ascii="Arial" w:hAnsi="Arial" w:cs="Arial"/>
                      <w:sz w:val="20"/>
                      <w:szCs w:val="20"/>
                      <w:lang w:val="en-GB" w:eastAsia="en-US"/>
                    </w:rPr>
                  </w:pPr>
                  <w:r w:rsidRPr="00BA4258">
                    <w:rPr>
                      <w:rFonts w:ascii="Arial" w:hAnsi="Arial" w:cs="Arial"/>
                      <w:sz w:val="20"/>
                      <w:szCs w:val="20"/>
                      <w:lang w:val="en-GB" w:eastAsia="en-US"/>
                    </w:rPr>
                    <w:t>7</w:t>
                  </w:r>
                </w:p>
              </w:tc>
              <w:tc>
                <w:tcPr>
                  <w:tcW w:w="162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49,183</w:t>
                  </w:r>
                </w:p>
              </w:tc>
              <w:tc>
                <w:tcPr>
                  <w:tcW w:w="176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xml:space="preserve">21,593 </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i/>
                      <w:iCs/>
                      <w:sz w:val="20"/>
                      <w:szCs w:val="20"/>
                      <w:lang w:val="en-GB" w:eastAsia="en-US"/>
                    </w:rPr>
                  </w:pPr>
                  <w:r w:rsidRPr="00BA4258">
                    <w:rPr>
                      <w:rFonts w:ascii="Arial" w:hAnsi="Arial" w:cs="Arial"/>
                      <w:b/>
                      <w:bCs/>
                      <w:i/>
                      <w:iCs/>
                      <w:sz w:val="20"/>
                      <w:szCs w:val="20"/>
                      <w:lang w:val="en-GB" w:eastAsia="en-US"/>
                    </w:rPr>
                    <w:t>Total liabilities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i/>
                      <w:iCs/>
                      <w:sz w:val="20"/>
                      <w:szCs w:val="20"/>
                      <w:lang w:val="en-GB" w:eastAsia="en-US"/>
                    </w:rPr>
                  </w:pPr>
                </w:p>
              </w:tc>
              <w:tc>
                <w:tcPr>
                  <w:tcW w:w="1620" w:type="dxa"/>
                  <w:tcBorders>
                    <w:top w:val="single" w:sz="4" w:space="0" w:color="auto"/>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i/>
                      <w:iCs/>
                      <w:sz w:val="20"/>
                      <w:szCs w:val="20"/>
                    </w:rPr>
                  </w:pPr>
                  <w:r w:rsidRPr="00BA4258">
                    <w:rPr>
                      <w:rFonts w:ascii="Arial" w:hAnsi="Arial" w:cs="Arial"/>
                      <w:b/>
                      <w:bCs/>
                      <w:i/>
                      <w:iCs/>
                      <w:sz w:val="20"/>
                      <w:szCs w:val="20"/>
                    </w:rPr>
                    <w:t>687,313</w:t>
                  </w:r>
                </w:p>
              </w:tc>
              <w:tc>
                <w:tcPr>
                  <w:tcW w:w="1760" w:type="dxa"/>
                  <w:tcBorders>
                    <w:top w:val="single" w:sz="4" w:space="0" w:color="auto"/>
                    <w:left w:val="nil"/>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i/>
                      <w:iCs/>
                      <w:sz w:val="20"/>
                      <w:szCs w:val="20"/>
                    </w:rPr>
                  </w:pPr>
                  <w:r w:rsidRPr="00BA4258">
                    <w:rPr>
                      <w:rFonts w:ascii="Arial" w:hAnsi="Arial" w:cs="Arial"/>
                      <w:b/>
                      <w:bCs/>
                      <w:i/>
                      <w:iCs/>
                      <w:sz w:val="20"/>
                      <w:szCs w:val="20"/>
                    </w:rPr>
                    <w:t>1,124,705</w:t>
                  </w:r>
                </w:p>
              </w:tc>
            </w:tr>
            <w:tr w:rsidR="00BA4258" w:rsidRPr="00BA4258" w:rsidTr="004912C2">
              <w:trPr>
                <w:trHeight w:val="321"/>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sz w:val="20"/>
                      <w:szCs w:val="20"/>
                      <w:lang w:val="en-GB" w:eastAsia="en-US"/>
                    </w:rPr>
                  </w:pPr>
                </w:p>
              </w:tc>
              <w:tc>
                <w:tcPr>
                  <w:tcW w:w="162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p>
              </w:tc>
              <w:tc>
                <w:tcPr>
                  <w:tcW w:w="1760" w:type="dxa"/>
                  <w:tcBorders>
                    <w:top w:val="nil"/>
                    <w:left w:val="nil"/>
                    <w:bottom w:val="sing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sz w:val="20"/>
                      <w:szCs w:val="20"/>
                    </w:rPr>
                  </w:pPr>
                  <w:r w:rsidRPr="00BA4258">
                    <w:rPr>
                      <w:rFonts w:ascii="Arial" w:hAnsi="Arial" w:cs="Arial"/>
                      <w:sz w:val="20"/>
                      <w:szCs w:val="20"/>
                    </w:rPr>
                    <w:t> </w:t>
                  </w:r>
                </w:p>
              </w:tc>
            </w:tr>
            <w:tr w:rsidR="00BA4258" w:rsidRPr="00BA4258" w:rsidTr="004912C2">
              <w:trPr>
                <w:trHeight w:val="285"/>
              </w:trPr>
              <w:tc>
                <w:tcPr>
                  <w:tcW w:w="3789"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r w:rsidRPr="00BA4258">
                    <w:rPr>
                      <w:rFonts w:ascii="Arial" w:hAnsi="Arial" w:cs="Arial"/>
                      <w:b/>
                      <w:bCs/>
                      <w:sz w:val="20"/>
                      <w:szCs w:val="20"/>
                      <w:lang w:val="en-GB" w:eastAsia="en-US"/>
                    </w:rPr>
                    <w:t>Total equity and liabilities</w:t>
                  </w:r>
                </w:p>
              </w:tc>
              <w:tc>
                <w:tcPr>
                  <w:tcW w:w="1418" w:type="dxa"/>
                  <w:tcBorders>
                    <w:top w:val="nil"/>
                    <w:left w:val="nil"/>
                    <w:bottom w:val="nil"/>
                    <w:right w:val="nil"/>
                  </w:tcBorders>
                  <w:shd w:val="clear" w:color="auto" w:fill="auto"/>
                  <w:noWrap/>
                  <w:vAlign w:val="bottom"/>
                </w:tcPr>
                <w:p w:rsidR="00A816E8" w:rsidRPr="00BA4258" w:rsidRDefault="00A816E8" w:rsidP="00BA4258">
                  <w:pPr>
                    <w:spacing w:after="0" w:line="240" w:lineRule="auto"/>
                    <w:rPr>
                      <w:rFonts w:ascii="Arial" w:hAnsi="Arial" w:cs="Arial"/>
                      <w:b/>
                      <w:bCs/>
                      <w:sz w:val="20"/>
                      <w:szCs w:val="20"/>
                      <w:lang w:val="en-GB" w:eastAsia="en-US"/>
                    </w:rPr>
                  </w:pPr>
                </w:p>
              </w:tc>
              <w:tc>
                <w:tcPr>
                  <w:tcW w:w="1620" w:type="dxa"/>
                  <w:tcBorders>
                    <w:top w:val="single" w:sz="4" w:space="0" w:color="auto"/>
                    <w:left w:val="nil"/>
                    <w:bottom w:val="doub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sz w:val="20"/>
                      <w:szCs w:val="20"/>
                    </w:rPr>
                  </w:pPr>
                  <w:r w:rsidRPr="00BA4258">
                    <w:rPr>
                      <w:rFonts w:ascii="Arial" w:hAnsi="Arial" w:cs="Arial"/>
                      <w:b/>
                      <w:bCs/>
                      <w:sz w:val="20"/>
                      <w:szCs w:val="20"/>
                    </w:rPr>
                    <w:t>759,661</w:t>
                  </w:r>
                </w:p>
              </w:tc>
              <w:tc>
                <w:tcPr>
                  <w:tcW w:w="1760" w:type="dxa"/>
                  <w:tcBorders>
                    <w:top w:val="single" w:sz="4" w:space="0" w:color="auto"/>
                    <w:left w:val="nil"/>
                    <w:bottom w:val="double" w:sz="4" w:space="0" w:color="auto"/>
                    <w:right w:val="nil"/>
                  </w:tcBorders>
                  <w:shd w:val="clear" w:color="auto" w:fill="auto"/>
                  <w:noWrap/>
                  <w:vAlign w:val="bottom"/>
                </w:tcPr>
                <w:p w:rsidR="00A816E8" w:rsidRPr="00BA4258" w:rsidRDefault="00A816E8" w:rsidP="00BA4258">
                  <w:pPr>
                    <w:spacing w:after="0" w:line="240" w:lineRule="auto"/>
                    <w:jc w:val="right"/>
                    <w:outlineLvl w:val="0"/>
                    <w:rPr>
                      <w:rFonts w:ascii="Arial" w:hAnsi="Arial" w:cs="Arial"/>
                      <w:b/>
                      <w:bCs/>
                      <w:sz w:val="20"/>
                      <w:szCs w:val="20"/>
                    </w:rPr>
                  </w:pPr>
                  <w:r w:rsidRPr="00BA4258">
                    <w:rPr>
                      <w:rFonts w:ascii="Arial" w:hAnsi="Arial" w:cs="Arial"/>
                      <w:b/>
                      <w:bCs/>
                      <w:sz w:val="20"/>
                      <w:szCs w:val="20"/>
                    </w:rPr>
                    <w:t>1,215,238</w:t>
                  </w:r>
                </w:p>
              </w:tc>
            </w:tr>
          </w:tbl>
          <w:p w:rsidR="000C0EFA" w:rsidRPr="00D2304A" w:rsidRDefault="000C0EFA" w:rsidP="00BA4258">
            <w:pPr>
              <w:spacing w:after="0" w:line="240" w:lineRule="auto"/>
              <w:rPr>
                <w:rFonts w:cs="Arial"/>
                <w:b/>
                <w:bCs/>
                <w:sz w:val="20"/>
                <w:szCs w:val="20"/>
                <w:lang w:val="ro-MO" w:eastAsia="en-US"/>
              </w:rPr>
            </w:pPr>
          </w:p>
        </w:tc>
        <w:tc>
          <w:tcPr>
            <w:tcW w:w="616" w:type="dxa"/>
            <w:tcBorders>
              <w:top w:val="nil"/>
              <w:left w:val="nil"/>
              <w:bottom w:val="nil"/>
              <w:right w:val="nil"/>
            </w:tcBorders>
            <w:shd w:val="clear" w:color="auto" w:fill="auto"/>
            <w:noWrap/>
            <w:vAlign w:val="bottom"/>
          </w:tcPr>
          <w:p w:rsidR="000C0EFA" w:rsidRPr="00D2304A" w:rsidRDefault="000C0EFA" w:rsidP="00BA4258">
            <w:pPr>
              <w:spacing w:after="0" w:line="240" w:lineRule="auto"/>
              <w:rPr>
                <w:rFonts w:cs="Arial"/>
                <w:b/>
                <w:bCs/>
                <w:sz w:val="20"/>
                <w:szCs w:val="20"/>
                <w:lang w:val="ro-MO" w:eastAsia="en-US"/>
              </w:rPr>
            </w:pPr>
          </w:p>
        </w:tc>
        <w:tc>
          <w:tcPr>
            <w:tcW w:w="709" w:type="dxa"/>
            <w:tcBorders>
              <w:top w:val="nil"/>
              <w:left w:val="nil"/>
              <w:bottom w:val="nil"/>
              <w:right w:val="nil"/>
            </w:tcBorders>
            <w:shd w:val="clear" w:color="auto" w:fill="auto"/>
            <w:noWrap/>
            <w:vAlign w:val="bottom"/>
          </w:tcPr>
          <w:p w:rsidR="000C0EFA" w:rsidRPr="00D2304A" w:rsidRDefault="000C0EFA" w:rsidP="00BA4258">
            <w:pPr>
              <w:spacing w:after="0" w:line="240" w:lineRule="auto"/>
              <w:jc w:val="right"/>
              <w:rPr>
                <w:rFonts w:cs="Arial"/>
                <w:b/>
                <w:bCs/>
                <w:sz w:val="20"/>
                <w:szCs w:val="20"/>
                <w:lang w:val="ro-MO" w:eastAsia="en-US"/>
              </w:rPr>
            </w:pPr>
          </w:p>
        </w:tc>
        <w:tc>
          <w:tcPr>
            <w:tcW w:w="728" w:type="dxa"/>
            <w:tcBorders>
              <w:top w:val="nil"/>
              <w:left w:val="nil"/>
              <w:bottom w:val="nil"/>
              <w:right w:val="nil"/>
            </w:tcBorders>
            <w:shd w:val="clear" w:color="auto" w:fill="auto"/>
            <w:noWrap/>
            <w:vAlign w:val="bottom"/>
          </w:tcPr>
          <w:p w:rsidR="000C0EFA" w:rsidRPr="00D2304A" w:rsidRDefault="000C0EFA" w:rsidP="00BA4258">
            <w:pPr>
              <w:spacing w:after="0" w:line="240" w:lineRule="auto"/>
              <w:jc w:val="right"/>
              <w:rPr>
                <w:rFonts w:cs="Arial"/>
                <w:b/>
                <w:bCs/>
                <w:sz w:val="20"/>
                <w:szCs w:val="20"/>
                <w:lang w:val="ro-MO" w:eastAsia="en-US"/>
              </w:rPr>
            </w:pPr>
          </w:p>
        </w:tc>
      </w:tr>
      <w:tr w:rsidR="00EA4A84" w:rsidRPr="00D2304A" w:rsidTr="00BA4258">
        <w:trPr>
          <w:trHeight w:val="95"/>
        </w:trPr>
        <w:tc>
          <w:tcPr>
            <w:tcW w:w="7693" w:type="dxa"/>
            <w:tcBorders>
              <w:top w:val="nil"/>
              <w:left w:val="nil"/>
              <w:bottom w:val="nil"/>
              <w:right w:val="nil"/>
            </w:tcBorders>
            <w:shd w:val="clear" w:color="auto" w:fill="auto"/>
            <w:noWrap/>
            <w:vAlign w:val="bottom"/>
          </w:tcPr>
          <w:p w:rsidR="00496002" w:rsidRPr="00D2304A" w:rsidRDefault="00496002" w:rsidP="00496002">
            <w:pPr>
              <w:spacing w:after="0" w:line="360" w:lineRule="auto"/>
              <w:rPr>
                <w:rFonts w:cs="Arial"/>
                <w:b/>
                <w:bCs/>
                <w:sz w:val="20"/>
                <w:szCs w:val="20"/>
                <w:lang w:val="ro-MO" w:eastAsia="en-US"/>
              </w:rPr>
            </w:pPr>
          </w:p>
        </w:tc>
        <w:tc>
          <w:tcPr>
            <w:tcW w:w="616" w:type="dxa"/>
            <w:tcBorders>
              <w:top w:val="nil"/>
              <w:left w:val="nil"/>
              <w:bottom w:val="nil"/>
              <w:right w:val="nil"/>
            </w:tcBorders>
            <w:shd w:val="clear" w:color="auto" w:fill="auto"/>
            <w:noWrap/>
            <w:vAlign w:val="bottom"/>
          </w:tcPr>
          <w:p w:rsidR="00496002" w:rsidRPr="00D2304A" w:rsidRDefault="00496002" w:rsidP="00496002">
            <w:pPr>
              <w:spacing w:after="0" w:line="360" w:lineRule="auto"/>
              <w:rPr>
                <w:rFonts w:cs="Arial"/>
                <w:b/>
                <w:bCs/>
                <w:sz w:val="20"/>
                <w:szCs w:val="20"/>
                <w:lang w:val="ro-MO" w:eastAsia="en-US"/>
              </w:rPr>
            </w:pPr>
          </w:p>
        </w:tc>
        <w:tc>
          <w:tcPr>
            <w:tcW w:w="709" w:type="dxa"/>
            <w:tcBorders>
              <w:top w:val="nil"/>
              <w:left w:val="nil"/>
              <w:bottom w:val="nil"/>
              <w:right w:val="nil"/>
            </w:tcBorders>
            <w:shd w:val="clear" w:color="auto" w:fill="auto"/>
            <w:noWrap/>
            <w:vAlign w:val="bottom"/>
          </w:tcPr>
          <w:p w:rsidR="00496002" w:rsidRPr="00D2304A" w:rsidRDefault="00496002" w:rsidP="00496002">
            <w:pPr>
              <w:spacing w:after="0" w:line="360" w:lineRule="auto"/>
              <w:jc w:val="right"/>
              <w:rPr>
                <w:rFonts w:cs="Arial"/>
                <w:b/>
                <w:bCs/>
                <w:sz w:val="20"/>
                <w:szCs w:val="20"/>
                <w:lang w:val="ro-MO" w:eastAsia="en-US"/>
              </w:rPr>
            </w:pPr>
          </w:p>
        </w:tc>
        <w:tc>
          <w:tcPr>
            <w:tcW w:w="728" w:type="dxa"/>
            <w:tcBorders>
              <w:top w:val="nil"/>
              <w:left w:val="nil"/>
              <w:bottom w:val="nil"/>
              <w:right w:val="nil"/>
            </w:tcBorders>
            <w:shd w:val="clear" w:color="auto" w:fill="auto"/>
            <w:noWrap/>
            <w:vAlign w:val="bottom"/>
          </w:tcPr>
          <w:p w:rsidR="00496002" w:rsidRPr="00D2304A" w:rsidRDefault="00496002" w:rsidP="00496002">
            <w:pPr>
              <w:spacing w:after="0" w:line="360" w:lineRule="auto"/>
              <w:jc w:val="right"/>
              <w:rPr>
                <w:rFonts w:cs="Arial"/>
                <w:b/>
                <w:bCs/>
                <w:sz w:val="20"/>
                <w:szCs w:val="20"/>
                <w:lang w:val="ro-MO" w:eastAsia="en-US"/>
              </w:rPr>
            </w:pPr>
          </w:p>
        </w:tc>
      </w:tr>
      <w:tr w:rsidR="00EA4A84" w:rsidRPr="00D2304A" w:rsidTr="00BA4258">
        <w:trPr>
          <w:trHeight w:val="116"/>
        </w:trPr>
        <w:tc>
          <w:tcPr>
            <w:tcW w:w="7693" w:type="dxa"/>
            <w:tcBorders>
              <w:top w:val="nil"/>
              <w:left w:val="nil"/>
              <w:bottom w:val="nil"/>
              <w:right w:val="nil"/>
            </w:tcBorders>
            <w:shd w:val="clear" w:color="auto" w:fill="auto"/>
            <w:noWrap/>
            <w:vAlign w:val="bottom"/>
          </w:tcPr>
          <w:p w:rsidR="000C0EFA" w:rsidRPr="00D2304A" w:rsidRDefault="000C0EFA" w:rsidP="00496002">
            <w:pPr>
              <w:spacing w:after="0" w:line="360" w:lineRule="auto"/>
              <w:rPr>
                <w:rFonts w:cs="Arial"/>
                <w:b/>
                <w:bCs/>
                <w:sz w:val="20"/>
                <w:szCs w:val="20"/>
                <w:lang w:val="ro-MO" w:eastAsia="en-US"/>
              </w:rPr>
            </w:pPr>
          </w:p>
        </w:tc>
        <w:tc>
          <w:tcPr>
            <w:tcW w:w="616" w:type="dxa"/>
            <w:tcBorders>
              <w:top w:val="nil"/>
              <w:left w:val="nil"/>
              <w:bottom w:val="nil"/>
              <w:right w:val="nil"/>
            </w:tcBorders>
            <w:shd w:val="clear" w:color="auto" w:fill="auto"/>
            <w:noWrap/>
            <w:vAlign w:val="bottom"/>
          </w:tcPr>
          <w:p w:rsidR="000C0EFA" w:rsidRPr="00D2304A" w:rsidRDefault="000C0EFA" w:rsidP="00496002">
            <w:pPr>
              <w:spacing w:after="0" w:line="360" w:lineRule="auto"/>
              <w:rPr>
                <w:rFonts w:cs="Arial"/>
                <w:b/>
                <w:bCs/>
                <w:sz w:val="20"/>
                <w:szCs w:val="20"/>
                <w:lang w:val="ro-MO" w:eastAsia="en-US"/>
              </w:rPr>
            </w:pPr>
          </w:p>
        </w:tc>
        <w:tc>
          <w:tcPr>
            <w:tcW w:w="709" w:type="dxa"/>
            <w:tcBorders>
              <w:top w:val="nil"/>
              <w:left w:val="nil"/>
              <w:bottom w:val="nil"/>
              <w:right w:val="nil"/>
            </w:tcBorders>
            <w:shd w:val="clear" w:color="auto" w:fill="auto"/>
            <w:noWrap/>
            <w:vAlign w:val="bottom"/>
          </w:tcPr>
          <w:p w:rsidR="000C0EFA" w:rsidRPr="00D2304A" w:rsidRDefault="000C0EFA" w:rsidP="00496002">
            <w:pPr>
              <w:spacing w:after="0" w:line="360" w:lineRule="auto"/>
              <w:jc w:val="right"/>
              <w:rPr>
                <w:rFonts w:cs="Arial"/>
                <w:b/>
                <w:bCs/>
                <w:sz w:val="20"/>
                <w:szCs w:val="20"/>
                <w:lang w:val="ro-MO" w:eastAsia="en-US"/>
              </w:rPr>
            </w:pPr>
          </w:p>
        </w:tc>
        <w:tc>
          <w:tcPr>
            <w:tcW w:w="728" w:type="dxa"/>
            <w:tcBorders>
              <w:top w:val="nil"/>
              <w:left w:val="nil"/>
              <w:bottom w:val="nil"/>
              <w:right w:val="nil"/>
            </w:tcBorders>
            <w:shd w:val="clear" w:color="auto" w:fill="auto"/>
            <w:noWrap/>
            <w:vAlign w:val="bottom"/>
          </w:tcPr>
          <w:p w:rsidR="000C0EFA" w:rsidRPr="00D2304A" w:rsidRDefault="000C0EFA" w:rsidP="00496002">
            <w:pPr>
              <w:spacing w:after="0" w:line="360" w:lineRule="auto"/>
              <w:jc w:val="right"/>
              <w:rPr>
                <w:rFonts w:cs="Arial"/>
                <w:b/>
                <w:bCs/>
                <w:sz w:val="20"/>
                <w:szCs w:val="20"/>
                <w:lang w:val="ro-MO" w:eastAsia="en-US"/>
              </w:rPr>
            </w:pPr>
          </w:p>
        </w:tc>
      </w:tr>
    </w:tbl>
    <w:p w:rsidR="00FF06C8" w:rsidRPr="00D2304A" w:rsidRDefault="00FF06C8" w:rsidP="00496002">
      <w:pPr>
        <w:spacing w:after="0"/>
        <w:rPr>
          <w:rFonts w:ascii="Times New Roman" w:eastAsia="SimSun" w:hAnsi="Times New Roman" w:cs="Times New Roman"/>
          <w:lang w:val="ro-MO" w:eastAsia="zh-CN"/>
        </w:rPr>
        <w:sectPr w:rsidR="00FF06C8" w:rsidRPr="00D2304A" w:rsidSect="00742289">
          <w:footerReference w:type="default" r:id="rId21"/>
          <w:pgSz w:w="11906" w:h="16838"/>
          <w:pgMar w:top="851" w:right="1134" w:bottom="992" w:left="1134" w:header="709" w:footer="709" w:gutter="0"/>
          <w:cols w:space="708"/>
          <w:docGrid w:linePitch="360"/>
        </w:sectPr>
      </w:pPr>
    </w:p>
    <w:p w:rsidR="00FF06C8" w:rsidRPr="00BB199C" w:rsidRDefault="000C0EFA" w:rsidP="000C0EFA">
      <w:pPr>
        <w:pStyle w:val="Header"/>
        <w:rPr>
          <w:rFonts w:cs="Arial"/>
          <w:b/>
          <w:lang w:val="en-US"/>
        </w:rPr>
      </w:pPr>
      <w:r w:rsidRPr="00BB199C">
        <w:rPr>
          <w:rFonts w:cs="Arial"/>
          <w:b/>
          <w:lang w:val="en-US"/>
        </w:rPr>
        <w:lastRenderedPageBreak/>
        <w:t>Sum</w:t>
      </w:r>
      <w:r w:rsidR="0087024D" w:rsidRPr="00BB199C">
        <w:rPr>
          <w:rFonts w:cs="Arial"/>
          <w:b/>
          <w:lang w:val="en-US"/>
        </w:rPr>
        <w:t xml:space="preserve">mary of sources and uses of funds by LRCM: </w:t>
      </w:r>
      <w:r w:rsidR="00287CBC" w:rsidRPr="00BB199C">
        <w:rPr>
          <w:rFonts w:cs="Arial"/>
          <w:b/>
          <w:lang w:val="en-US"/>
        </w:rPr>
        <w:t>2013</w:t>
      </w:r>
      <w:r w:rsidR="00FF06C8" w:rsidRPr="00BB199C">
        <w:rPr>
          <w:rStyle w:val="FootnoteReference"/>
          <w:rFonts w:eastAsia="SimSun" w:cs="Times New Roman"/>
          <w:b/>
          <w:lang w:val="en-US" w:eastAsia="zh-CN"/>
        </w:rPr>
        <w:footnoteReference w:id="3"/>
      </w:r>
    </w:p>
    <w:tbl>
      <w:tblPr>
        <w:tblW w:w="14472" w:type="dxa"/>
        <w:tblInd w:w="93" w:type="dxa"/>
        <w:tblLayout w:type="fixed"/>
        <w:tblLook w:val="04A0"/>
      </w:tblPr>
      <w:tblGrid>
        <w:gridCol w:w="6819"/>
        <w:gridCol w:w="1276"/>
        <w:gridCol w:w="1275"/>
        <w:gridCol w:w="1417"/>
        <w:gridCol w:w="1418"/>
        <w:gridCol w:w="992"/>
        <w:gridCol w:w="1275"/>
      </w:tblGrid>
      <w:tr w:rsidR="00A36745" w:rsidRPr="00BB199C" w:rsidTr="00BB199C">
        <w:trPr>
          <w:gridAfter w:val="2"/>
          <w:wAfter w:w="2267" w:type="dxa"/>
          <w:trHeight w:val="491"/>
        </w:trPr>
        <w:tc>
          <w:tcPr>
            <w:tcW w:w="6819" w:type="dxa"/>
            <w:vMerge w:val="restart"/>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6" w:type="dxa"/>
            <w:vMerge w:val="restart"/>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p w:rsidR="00BB199C" w:rsidRPr="00BB199C" w:rsidRDefault="00BB199C" w:rsidP="00BB199C">
            <w:pPr>
              <w:spacing w:after="0" w:line="240" w:lineRule="auto"/>
              <w:rPr>
                <w:rFonts w:ascii="Arial" w:hAnsi="Arial" w:cs="Arial"/>
                <w:b/>
                <w:bCs/>
                <w:sz w:val="20"/>
                <w:szCs w:val="20"/>
                <w:lang w:val="en-US" w:eastAsia="en-US"/>
              </w:rPr>
            </w:pPr>
          </w:p>
          <w:p w:rsidR="00BB199C" w:rsidRPr="00BB199C" w:rsidRDefault="00BB199C" w:rsidP="00BB199C">
            <w:pPr>
              <w:spacing w:after="0" w:line="240" w:lineRule="auto"/>
              <w:rPr>
                <w:rFonts w:ascii="Arial" w:hAnsi="Arial" w:cs="Arial"/>
                <w:b/>
                <w:bCs/>
                <w:sz w:val="20"/>
                <w:szCs w:val="20"/>
                <w:lang w:val="en-US" w:eastAsia="en-US"/>
              </w:rPr>
            </w:pPr>
          </w:p>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b/>
                <w:bCs/>
                <w:sz w:val="20"/>
                <w:szCs w:val="20"/>
                <w:lang w:val="en-US" w:eastAsia="en-US"/>
              </w:rPr>
              <w:t>Note</w:t>
            </w:r>
          </w:p>
        </w:tc>
        <w:tc>
          <w:tcPr>
            <w:tcW w:w="1275" w:type="dxa"/>
            <w:vMerge w:val="restart"/>
            <w:shd w:val="clear" w:color="000000" w:fill="FFFFFF"/>
            <w:vAlign w:val="bottom"/>
            <w:hideMark/>
          </w:tcPr>
          <w:p w:rsidR="00A36745" w:rsidRPr="00BB199C" w:rsidRDefault="00A36745" w:rsidP="00BB199C">
            <w:pPr>
              <w:spacing w:after="0" w:line="240" w:lineRule="auto"/>
              <w:jc w:val="center"/>
              <w:rPr>
                <w:rFonts w:ascii="Arial" w:hAnsi="Arial" w:cs="Arial"/>
                <w:b/>
                <w:bCs/>
                <w:sz w:val="20"/>
                <w:szCs w:val="20"/>
                <w:lang w:val="en-US" w:eastAsia="en-US"/>
              </w:rPr>
            </w:pPr>
          </w:p>
          <w:p w:rsidR="00A36745" w:rsidRPr="00BB199C" w:rsidRDefault="00A36745" w:rsidP="00BB199C">
            <w:pPr>
              <w:spacing w:after="0" w:line="240" w:lineRule="auto"/>
              <w:jc w:val="center"/>
              <w:rPr>
                <w:rFonts w:ascii="Arial" w:hAnsi="Arial" w:cs="Arial"/>
                <w:b/>
                <w:bCs/>
                <w:sz w:val="20"/>
                <w:szCs w:val="20"/>
                <w:lang w:val="en-US" w:eastAsia="en-US"/>
              </w:rPr>
            </w:pPr>
          </w:p>
          <w:p w:rsidR="00A36745" w:rsidRPr="00BB199C" w:rsidRDefault="00A36745" w:rsidP="00BB199C">
            <w:pPr>
              <w:spacing w:after="240" w:line="240" w:lineRule="auto"/>
              <w:jc w:val="center"/>
              <w:rPr>
                <w:rFonts w:ascii="Arial" w:hAnsi="Arial" w:cs="Arial"/>
                <w:b/>
                <w:bCs/>
                <w:sz w:val="20"/>
                <w:szCs w:val="20"/>
                <w:lang w:val="en-US" w:eastAsia="en-US"/>
              </w:rPr>
            </w:pPr>
            <w:r w:rsidRPr="00BB199C">
              <w:rPr>
                <w:rFonts w:ascii="Arial" w:hAnsi="Arial" w:cs="Arial"/>
                <w:b/>
                <w:bCs/>
                <w:sz w:val="20"/>
                <w:szCs w:val="20"/>
                <w:lang w:val="en-US" w:eastAsia="en-US"/>
              </w:rPr>
              <w:t>Year 2013</w:t>
            </w:r>
          </w:p>
          <w:p w:rsidR="00A36745" w:rsidRPr="00BB199C" w:rsidRDefault="00A36745" w:rsidP="00BB199C">
            <w:pPr>
              <w:spacing w:after="0" w:line="240" w:lineRule="auto"/>
              <w:jc w:val="center"/>
              <w:rPr>
                <w:rFonts w:ascii="Arial" w:hAnsi="Arial" w:cs="Arial"/>
                <w:b/>
                <w:bCs/>
                <w:sz w:val="20"/>
                <w:szCs w:val="20"/>
                <w:lang w:val="en-US" w:eastAsia="en-US"/>
              </w:rPr>
            </w:pPr>
            <w:r w:rsidRPr="00BB199C">
              <w:rPr>
                <w:rFonts w:ascii="Arial" w:hAnsi="Arial" w:cs="Arial"/>
                <w:b/>
                <w:bCs/>
                <w:sz w:val="20"/>
                <w:szCs w:val="20"/>
                <w:lang w:val="en-US" w:eastAsia="en-US"/>
              </w:rPr>
              <w:t>MDL</w:t>
            </w:r>
          </w:p>
        </w:tc>
        <w:tc>
          <w:tcPr>
            <w:tcW w:w="1417" w:type="dxa"/>
            <w:vMerge w:val="restart"/>
            <w:shd w:val="clear" w:color="auto" w:fill="auto"/>
            <w:vAlign w:val="bottom"/>
            <w:hideMark/>
          </w:tcPr>
          <w:p w:rsidR="00A36745" w:rsidRPr="00BB199C" w:rsidRDefault="00A36745" w:rsidP="00BB199C">
            <w:pPr>
              <w:spacing w:after="240" w:line="240" w:lineRule="auto"/>
              <w:jc w:val="center"/>
              <w:rPr>
                <w:rFonts w:ascii="Arial" w:hAnsi="Arial" w:cs="Arial"/>
                <w:b/>
                <w:bCs/>
                <w:sz w:val="20"/>
                <w:szCs w:val="20"/>
                <w:lang w:val="en-US" w:eastAsia="en-US"/>
              </w:rPr>
            </w:pPr>
            <w:r w:rsidRPr="00BB199C">
              <w:rPr>
                <w:rFonts w:ascii="Arial" w:hAnsi="Arial" w:cs="Arial"/>
                <w:b/>
                <w:bCs/>
                <w:sz w:val="20"/>
                <w:szCs w:val="20"/>
                <w:lang w:val="en-US" w:eastAsia="en-US"/>
              </w:rPr>
              <w:t>Cumulative</w:t>
            </w:r>
          </w:p>
          <w:p w:rsidR="00A36745" w:rsidRPr="00BB199C" w:rsidRDefault="00A36745" w:rsidP="00BB199C">
            <w:pPr>
              <w:spacing w:after="0" w:line="240" w:lineRule="auto"/>
              <w:jc w:val="center"/>
              <w:rPr>
                <w:rFonts w:ascii="Arial" w:hAnsi="Arial" w:cs="Arial"/>
                <w:b/>
                <w:bCs/>
                <w:sz w:val="20"/>
                <w:szCs w:val="20"/>
                <w:lang w:val="en-US" w:eastAsia="en-US"/>
              </w:rPr>
            </w:pPr>
            <w:r w:rsidRPr="00BB199C">
              <w:rPr>
                <w:rFonts w:ascii="Arial" w:hAnsi="Arial" w:cs="Arial"/>
                <w:b/>
                <w:bCs/>
                <w:sz w:val="20"/>
                <w:szCs w:val="20"/>
                <w:lang w:val="en-US" w:eastAsia="en-US"/>
              </w:rPr>
              <w:t>USD</w:t>
            </w:r>
          </w:p>
        </w:tc>
        <w:tc>
          <w:tcPr>
            <w:tcW w:w="1418" w:type="dxa"/>
            <w:vMerge w:val="restart"/>
            <w:shd w:val="clear" w:color="auto" w:fill="auto"/>
            <w:vAlign w:val="bottom"/>
            <w:hideMark/>
          </w:tcPr>
          <w:p w:rsidR="00A36745" w:rsidRPr="00BB199C" w:rsidRDefault="00A36745" w:rsidP="00BB199C">
            <w:pPr>
              <w:spacing w:after="0" w:line="240" w:lineRule="auto"/>
              <w:jc w:val="center"/>
              <w:rPr>
                <w:rFonts w:ascii="Arial" w:hAnsi="Arial" w:cs="Arial"/>
                <w:b/>
                <w:bCs/>
                <w:sz w:val="20"/>
                <w:szCs w:val="20"/>
                <w:lang w:val="en-US" w:eastAsia="en-US"/>
              </w:rPr>
            </w:pPr>
          </w:p>
          <w:p w:rsidR="00BB199C" w:rsidRPr="00BB199C" w:rsidRDefault="00BB199C" w:rsidP="00BB199C">
            <w:pPr>
              <w:spacing w:after="0" w:line="240" w:lineRule="auto"/>
              <w:jc w:val="center"/>
              <w:rPr>
                <w:rFonts w:ascii="Arial" w:hAnsi="Arial" w:cs="Arial"/>
                <w:b/>
                <w:bCs/>
                <w:sz w:val="20"/>
                <w:szCs w:val="20"/>
                <w:lang w:val="en-US" w:eastAsia="en-US"/>
              </w:rPr>
            </w:pPr>
          </w:p>
          <w:p w:rsidR="00BB199C" w:rsidRPr="00BB199C" w:rsidRDefault="00BB199C" w:rsidP="00BB199C">
            <w:pPr>
              <w:spacing w:after="0" w:line="240" w:lineRule="auto"/>
              <w:jc w:val="center"/>
              <w:rPr>
                <w:rFonts w:ascii="Arial" w:hAnsi="Arial" w:cs="Arial"/>
                <w:b/>
                <w:bCs/>
                <w:sz w:val="20"/>
                <w:szCs w:val="20"/>
                <w:lang w:val="en-US" w:eastAsia="en-US"/>
              </w:rPr>
            </w:pPr>
          </w:p>
          <w:p w:rsidR="00A36745" w:rsidRPr="00BB199C" w:rsidRDefault="00A36745" w:rsidP="00BB199C">
            <w:pPr>
              <w:spacing w:after="0" w:line="240" w:lineRule="auto"/>
              <w:jc w:val="center"/>
              <w:rPr>
                <w:rFonts w:ascii="Arial" w:hAnsi="Arial" w:cs="Arial"/>
                <w:b/>
                <w:bCs/>
                <w:sz w:val="20"/>
                <w:szCs w:val="20"/>
                <w:lang w:val="en-US" w:eastAsia="en-US"/>
              </w:rPr>
            </w:pPr>
            <w:r w:rsidRPr="00BB199C">
              <w:rPr>
                <w:rFonts w:ascii="Arial" w:hAnsi="Arial" w:cs="Arial"/>
                <w:b/>
                <w:bCs/>
                <w:sz w:val="20"/>
                <w:szCs w:val="20"/>
                <w:lang w:val="en-US" w:eastAsia="en-US"/>
              </w:rPr>
              <w:t>MDL</w:t>
            </w:r>
          </w:p>
        </w:tc>
      </w:tr>
      <w:tr w:rsidR="00A36745" w:rsidRPr="00BB199C" w:rsidTr="00BB199C">
        <w:trPr>
          <w:trHeight w:val="488"/>
        </w:trPr>
        <w:tc>
          <w:tcPr>
            <w:tcW w:w="6819" w:type="dxa"/>
            <w:vMerge/>
            <w:vAlign w:val="bottom"/>
            <w:hideMark/>
          </w:tcPr>
          <w:p w:rsidR="00A36745" w:rsidRPr="00BB199C" w:rsidRDefault="00A36745" w:rsidP="00BB199C">
            <w:pPr>
              <w:spacing w:after="0" w:line="240" w:lineRule="auto"/>
              <w:rPr>
                <w:rFonts w:cs="Arial"/>
                <w:b/>
                <w:bCs/>
                <w:sz w:val="20"/>
                <w:szCs w:val="20"/>
                <w:lang w:val="en-US" w:eastAsia="en-US"/>
              </w:rPr>
            </w:pPr>
          </w:p>
        </w:tc>
        <w:tc>
          <w:tcPr>
            <w:tcW w:w="1276" w:type="dxa"/>
            <w:vMerge/>
            <w:vAlign w:val="bottom"/>
            <w:hideMark/>
          </w:tcPr>
          <w:p w:rsidR="00A36745" w:rsidRPr="00BB199C" w:rsidRDefault="00A36745" w:rsidP="00BB199C">
            <w:pPr>
              <w:spacing w:after="0" w:line="240" w:lineRule="auto"/>
              <w:rPr>
                <w:rFonts w:cs="Arial"/>
                <w:b/>
                <w:bCs/>
                <w:sz w:val="20"/>
                <w:szCs w:val="20"/>
                <w:lang w:val="en-US" w:eastAsia="en-US"/>
              </w:rPr>
            </w:pPr>
          </w:p>
        </w:tc>
        <w:tc>
          <w:tcPr>
            <w:tcW w:w="1275" w:type="dxa"/>
            <w:vMerge/>
            <w:vAlign w:val="bottom"/>
            <w:hideMark/>
          </w:tcPr>
          <w:p w:rsidR="00A36745" w:rsidRPr="00BB199C" w:rsidRDefault="00A36745" w:rsidP="00BB199C">
            <w:pPr>
              <w:spacing w:after="0" w:line="240" w:lineRule="auto"/>
              <w:rPr>
                <w:rFonts w:cs="Arial"/>
                <w:b/>
                <w:bCs/>
                <w:sz w:val="20"/>
                <w:szCs w:val="20"/>
                <w:lang w:val="en-US" w:eastAsia="en-US"/>
              </w:rPr>
            </w:pPr>
          </w:p>
        </w:tc>
        <w:tc>
          <w:tcPr>
            <w:tcW w:w="1417" w:type="dxa"/>
            <w:vMerge/>
            <w:vAlign w:val="bottom"/>
            <w:hideMark/>
          </w:tcPr>
          <w:p w:rsidR="00A36745" w:rsidRPr="00BB199C" w:rsidRDefault="00A36745" w:rsidP="00BB199C">
            <w:pPr>
              <w:spacing w:after="0" w:line="240" w:lineRule="auto"/>
              <w:rPr>
                <w:rFonts w:cs="Arial"/>
                <w:b/>
                <w:bCs/>
                <w:sz w:val="20"/>
                <w:szCs w:val="20"/>
                <w:lang w:val="en-US" w:eastAsia="en-US"/>
              </w:rPr>
            </w:pPr>
          </w:p>
        </w:tc>
        <w:tc>
          <w:tcPr>
            <w:tcW w:w="1418" w:type="dxa"/>
            <w:vMerge/>
            <w:vAlign w:val="bottom"/>
            <w:hideMark/>
          </w:tcPr>
          <w:p w:rsidR="00A36745" w:rsidRPr="00BB199C" w:rsidRDefault="00A36745" w:rsidP="00BB199C">
            <w:pPr>
              <w:spacing w:after="0" w:line="240" w:lineRule="auto"/>
              <w:rPr>
                <w:rFonts w:cs="Arial"/>
                <w:b/>
                <w:bCs/>
                <w:sz w:val="20"/>
                <w:szCs w:val="20"/>
                <w:lang w:val="en-US" w:eastAsia="en-US"/>
              </w:rPr>
            </w:pPr>
          </w:p>
        </w:tc>
        <w:tc>
          <w:tcPr>
            <w:tcW w:w="992" w:type="dxa"/>
            <w:vAlign w:val="bottom"/>
          </w:tcPr>
          <w:p w:rsidR="00A36745" w:rsidRPr="00BB199C" w:rsidRDefault="00A36745" w:rsidP="00BB199C">
            <w:pPr>
              <w:spacing w:after="0" w:line="240" w:lineRule="auto"/>
              <w:jc w:val="center"/>
              <w:rPr>
                <w:sz w:val="20"/>
                <w:szCs w:val="20"/>
                <w:lang w:val="en-US"/>
              </w:rPr>
            </w:pPr>
            <w:r w:rsidRPr="00BB199C">
              <w:rPr>
                <w:rFonts w:ascii="Arial" w:hAnsi="Arial" w:cs="Arial"/>
                <w:b/>
                <w:bCs/>
                <w:sz w:val="20"/>
                <w:szCs w:val="20"/>
                <w:lang w:val="en-US" w:eastAsia="en-US"/>
              </w:rPr>
              <w:t>USD</w:t>
            </w:r>
          </w:p>
        </w:tc>
        <w:tc>
          <w:tcPr>
            <w:tcW w:w="1275" w:type="dxa"/>
            <w:vAlign w:val="bottom"/>
          </w:tcPr>
          <w:p w:rsidR="00A36745" w:rsidRPr="00BB199C" w:rsidRDefault="00A36745" w:rsidP="00BB199C">
            <w:pPr>
              <w:spacing w:after="0" w:line="240" w:lineRule="auto"/>
              <w:jc w:val="center"/>
              <w:rPr>
                <w:sz w:val="20"/>
                <w:szCs w:val="20"/>
                <w:lang w:val="en-US"/>
              </w:rPr>
            </w:pPr>
            <w:r w:rsidRPr="00BB199C">
              <w:rPr>
                <w:rFonts w:ascii="Arial" w:hAnsi="Arial" w:cs="Arial"/>
                <w:b/>
                <w:bCs/>
                <w:sz w:val="20"/>
                <w:szCs w:val="20"/>
                <w:lang w:val="en-US" w:eastAsia="en-US"/>
              </w:rPr>
              <w:t>Budget</w:t>
            </w: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b/>
                <w:bCs/>
                <w:sz w:val="20"/>
                <w:szCs w:val="20"/>
                <w:lang w:val="en-US" w:eastAsia="en-US"/>
              </w:rPr>
            </w:pPr>
            <w:r w:rsidRPr="00BB199C">
              <w:rPr>
                <w:rFonts w:ascii="Arial" w:hAnsi="Arial" w:cs="Arial"/>
                <w:b/>
                <w:bCs/>
                <w:sz w:val="20"/>
                <w:szCs w:val="20"/>
                <w:lang w:val="en-US" w:eastAsia="en-US"/>
              </w:rPr>
              <w:t>Opening balance</w:t>
            </w:r>
          </w:p>
        </w:tc>
        <w:tc>
          <w:tcPr>
            <w:tcW w:w="1276"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417"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418" w:type="dxa"/>
            <w:shd w:val="clear" w:color="auto" w:fill="auto"/>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992" w:type="dxa"/>
            <w:vAlign w:val="bottom"/>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vAlign w:val="bottom"/>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Account in (MDL)</w:t>
            </w:r>
          </w:p>
        </w:tc>
        <w:tc>
          <w:tcPr>
            <w:tcW w:w="1276"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r w:rsidRPr="00BB199C">
              <w:rPr>
                <w:rFonts w:ascii="Arial" w:hAnsi="Arial" w:cs="Arial"/>
                <w:sz w:val="20"/>
                <w:szCs w:val="20"/>
                <w:lang w:val="en-US" w:eastAsia="en-US"/>
              </w:rPr>
              <w:t>334,205</w:t>
            </w:r>
          </w:p>
        </w:tc>
        <w:tc>
          <w:tcPr>
            <w:tcW w:w="1417"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1418" w:type="dxa"/>
            <w:shd w:val="clear" w:color="auto" w:fill="auto"/>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992"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c>
          <w:tcPr>
            <w:tcW w:w="1275"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Account in (EUR)</w:t>
            </w:r>
          </w:p>
        </w:tc>
        <w:tc>
          <w:tcPr>
            <w:tcW w:w="1276"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r w:rsidRPr="00BB199C">
              <w:rPr>
                <w:rFonts w:ascii="Arial" w:hAnsi="Arial" w:cs="Arial"/>
                <w:sz w:val="20"/>
                <w:szCs w:val="20"/>
                <w:lang w:val="en-US" w:eastAsia="en-US"/>
              </w:rPr>
              <w:t>-</w:t>
            </w:r>
          </w:p>
        </w:tc>
        <w:tc>
          <w:tcPr>
            <w:tcW w:w="1417"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1418" w:type="dxa"/>
            <w:shd w:val="clear" w:color="auto" w:fill="auto"/>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992"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c>
          <w:tcPr>
            <w:tcW w:w="1275"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Account in (USD)</w:t>
            </w:r>
          </w:p>
        </w:tc>
        <w:tc>
          <w:tcPr>
            <w:tcW w:w="1276"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r w:rsidRPr="00BB199C">
              <w:rPr>
                <w:rFonts w:ascii="Arial" w:hAnsi="Arial" w:cs="Arial"/>
                <w:sz w:val="20"/>
                <w:szCs w:val="20"/>
                <w:lang w:val="en-US" w:eastAsia="en-US"/>
              </w:rPr>
              <w:t>303,925</w:t>
            </w:r>
          </w:p>
        </w:tc>
        <w:tc>
          <w:tcPr>
            <w:tcW w:w="1417"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1418" w:type="dxa"/>
            <w:shd w:val="clear" w:color="auto" w:fill="auto"/>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992"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c>
          <w:tcPr>
            <w:tcW w:w="1275"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b/>
                <w:bCs/>
                <w:sz w:val="20"/>
                <w:szCs w:val="20"/>
                <w:lang w:val="en-US" w:eastAsia="en-US"/>
              </w:rPr>
            </w:pPr>
            <w:r w:rsidRPr="00BB199C">
              <w:rPr>
                <w:rFonts w:ascii="Arial" w:hAnsi="Arial" w:cs="Arial"/>
                <w:b/>
                <w:bCs/>
                <w:sz w:val="20"/>
                <w:szCs w:val="20"/>
                <w:lang w:val="en-US" w:eastAsia="en-US"/>
              </w:rPr>
              <w:t>Total</w:t>
            </w:r>
          </w:p>
        </w:tc>
        <w:tc>
          <w:tcPr>
            <w:tcW w:w="1276"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shd w:val="clear" w:color="000000" w:fill="FFFFFF"/>
            <w:noWrap/>
            <w:vAlign w:val="bottom"/>
            <w:hideMark/>
          </w:tcPr>
          <w:p w:rsidR="00A36745" w:rsidRPr="00BB199C" w:rsidRDefault="00A36745" w:rsidP="00BB199C">
            <w:pPr>
              <w:spacing w:after="0" w:line="240" w:lineRule="auto"/>
              <w:jc w:val="right"/>
              <w:rPr>
                <w:rFonts w:ascii="Arial" w:hAnsi="Arial" w:cs="Arial"/>
                <w:b/>
                <w:bCs/>
                <w:sz w:val="20"/>
                <w:szCs w:val="20"/>
                <w:lang w:val="en-US" w:eastAsia="en-US"/>
              </w:rPr>
            </w:pPr>
            <w:r w:rsidRPr="00BB199C">
              <w:rPr>
                <w:rFonts w:ascii="Arial" w:hAnsi="Arial" w:cs="Arial"/>
                <w:b/>
                <w:bCs/>
                <w:sz w:val="20"/>
                <w:szCs w:val="20"/>
                <w:lang w:val="en-US" w:eastAsia="en-US"/>
              </w:rPr>
              <w:t>638,130</w:t>
            </w:r>
          </w:p>
        </w:tc>
        <w:tc>
          <w:tcPr>
            <w:tcW w:w="1417"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1418" w:type="dxa"/>
            <w:shd w:val="clear" w:color="auto" w:fill="auto"/>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992"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c>
          <w:tcPr>
            <w:tcW w:w="1275"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6"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1417"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1418" w:type="dxa"/>
            <w:shd w:val="clear" w:color="auto" w:fill="auto"/>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992"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c>
          <w:tcPr>
            <w:tcW w:w="1275"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r>
      <w:tr w:rsidR="00A36745" w:rsidRPr="00BB199C" w:rsidTr="00BB199C">
        <w:trPr>
          <w:trHeight w:val="525"/>
        </w:trPr>
        <w:tc>
          <w:tcPr>
            <w:tcW w:w="6819" w:type="dxa"/>
            <w:shd w:val="clear" w:color="000000" w:fill="FFFFFF"/>
            <w:vAlign w:val="bottom"/>
            <w:hideMark/>
          </w:tcPr>
          <w:p w:rsidR="00A36745" w:rsidRPr="00BB199C" w:rsidRDefault="00A36745" w:rsidP="00BB199C">
            <w:pPr>
              <w:spacing w:after="0" w:line="240" w:lineRule="auto"/>
              <w:rPr>
                <w:rFonts w:ascii="Arial" w:hAnsi="Arial" w:cs="Arial"/>
                <w:b/>
                <w:bCs/>
                <w:sz w:val="20"/>
                <w:szCs w:val="20"/>
                <w:lang w:val="en-US" w:eastAsia="en-US"/>
              </w:rPr>
            </w:pPr>
            <w:r w:rsidRPr="00BB199C">
              <w:rPr>
                <w:rFonts w:ascii="Arial" w:hAnsi="Arial" w:cs="Arial"/>
                <w:b/>
                <w:bCs/>
                <w:sz w:val="20"/>
                <w:szCs w:val="20"/>
                <w:lang w:val="en-US" w:eastAsia="en-US"/>
              </w:rPr>
              <w:t>Plus: Sources of financing</w:t>
            </w:r>
          </w:p>
        </w:tc>
        <w:tc>
          <w:tcPr>
            <w:tcW w:w="1276"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1417" w:type="dxa"/>
            <w:shd w:val="clear" w:color="000000" w:fill="FFFFFF"/>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1418" w:type="dxa"/>
            <w:shd w:val="clear" w:color="auto" w:fill="auto"/>
            <w:noWrap/>
            <w:vAlign w:val="bottom"/>
            <w:hideMark/>
          </w:tcPr>
          <w:p w:rsidR="00A36745" w:rsidRPr="00BB199C" w:rsidRDefault="00A36745" w:rsidP="00BB199C">
            <w:pPr>
              <w:spacing w:after="0" w:line="240" w:lineRule="auto"/>
              <w:jc w:val="right"/>
              <w:rPr>
                <w:rFonts w:ascii="Arial" w:hAnsi="Arial" w:cs="Arial"/>
                <w:sz w:val="20"/>
                <w:szCs w:val="20"/>
                <w:lang w:val="en-US" w:eastAsia="en-US"/>
              </w:rPr>
            </w:pPr>
          </w:p>
        </w:tc>
        <w:tc>
          <w:tcPr>
            <w:tcW w:w="992"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c>
          <w:tcPr>
            <w:tcW w:w="1275" w:type="dxa"/>
            <w:vAlign w:val="bottom"/>
          </w:tcPr>
          <w:p w:rsidR="00A36745" w:rsidRPr="00BB199C" w:rsidRDefault="00A36745" w:rsidP="00BB199C">
            <w:pPr>
              <w:spacing w:after="0" w:line="240" w:lineRule="auto"/>
              <w:jc w:val="right"/>
              <w:rPr>
                <w:rFonts w:ascii="Arial" w:hAnsi="Arial" w:cs="Arial"/>
                <w:sz w:val="20"/>
                <w:szCs w:val="20"/>
                <w:lang w:val="en-US" w:eastAsia="en-US"/>
              </w:rPr>
            </w:pP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SOROS Foundation – grant contract no. 13637(FSM CSM)</w:t>
            </w:r>
          </w:p>
        </w:tc>
        <w:tc>
          <w:tcPr>
            <w:tcW w:w="1276" w:type="dxa"/>
            <w:shd w:val="clear" w:color="000000" w:fill="FFFFFF"/>
            <w:noWrap/>
            <w:vAlign w:val="bottom"/>
            <w:hideMark/>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10</w:t>
            </w:r>
          </w:p>
        </w:tc>
        <w:tc>
          <w:tcPr>
            <w:tcW w:w="1275" w:type="dxa"/>
            <w:shd w:val="clear" w:color="000000" w:fill="FFFFFF"/>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w:t>
            </w:r>
          </w:p>
        </w:tc>
        <w:tc>
          <w:tcPr>
            <w:tcW w:w="1417" w:type="dxa"/>
            <w:shd w:val="clear" w:color="000000" w:fill="FFFFFF"/>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w:t>
            </w:r>
          </w:p>
        </w:tc>
        <w:tc>
          <w:tcPr>
            <w:tcW w:w="1418" w:type="dxa"/>
            <w:shd w:val="clear" w:color="auto" w:fill="auto"/>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695,272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58,000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MS Mincho" w:eastAsia="MS Mincho" w:hAnsi="MS Mincho" w:cs="MS Mincho"/>
                <w:sz w:val="20"/>
                <w:szCs w:val="20"/>
                <w:lang w:val="en-US"/>
              </w:rPr>
              <w:t xml:space="preserve">$ </w:t>
            </w:r>
            <w:r w:rsidRPr="00BB199C">
              <w:rPr>
                <w:rFonts w:ascii="Arial" w:hAnsi="Arial" w:cs="Arial"/>
                <w:sz w:val="20"/>
                <w:szCs w:val="20"/>
                <w:lang w:val="en-US"/>
              </w:rPr>
              <w:t xml:space="preserve">58,000   </w:t>
            </w: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SOROS Foundation - grant contract no. 14030 (FSM Discriminare)</w:t>
            </w:r>
          </w:p>
        </w:tc>
        <w:tc>
          <w:tcPr>
            <w:tcW w:w="1276" w:type="dxa"/>
            <w:shd w:val="clear" w:color="000000" w:fill="FFFFFF"/>
            <w:noWrap/>
            <w:vAlign w:val="bottom"/>
            <w:hideMark/>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11</w:t>
            </w:r>
          </w:p>
        </w:tc>
        <w:tc>
          <w:tcPr>
            <w:tcW w:w="1275" w:type="dxa"/>
            <w:shd w:val="clear" w:color="000000" w:fill="FFFFFF"/>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130,536   </w:t>
            </w:r>
          </w:p>
        </w:tc>
        <w:tc>
          <w:tcPr>
            <w:tcW w:w="1417" w:type="dxa"/>
            <w:shd w:val="clear" w:color="000000" w:fill="FFFFFF"/>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10,000   </w:t>
            </w:r>
          </w:p>
        </w:tc>
        <w:tc>
          <w:tcPr>
            <w:tcW w:w="1418" w:type="dxa"/>
            <w:shd w:val="clear" w:color="auto" w:fill="auto"/>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130,536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10,000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$ 27,600   </w:t>
            </w: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SOROS Foundation - grant contract no. 14077 (FSM JI)</w:t>
            </w:r>
          </w:p>
        </w:tc>
        <w:tc>
          <w:tcPr>
            <w:tcW w:w="1276" w:type="dxa"/>
            <w:shd w:val="clear" w:color="000000" w:fill="FFFFFF"/>
            <w:noWrap/>
            <w:vAlign w:val="bottom"/>
            <w:hideMark/>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12</w:t>
            </w:r>
          </w:p>
        </w:tc>
        <w:tc>
          <w:tcPr>
            <w:tcW w:w="1275" w:type="dxa"/>
            <w:shd w:val="clear" w:color="000000" w:fill="FFFFFF"/>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326,665   </w:t>
            </w:r>
          </w:p>
        </w:tc>
        <w:tc>
          <w:tcPr>
            <w:tcW w:w="1417" w:type="dxa"/>
            <w:shd w:val="clear" w:color="000000" w:fill="FFFFFF"/>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25,000   </w:t>
            </w:r>
          </w:p>
        </w:tc>
        <w:tc>
          <w:tcPr>
            <w:tcW w:w="1418" w:type="dxa"/>
            <w:shd w:val="clear" w:color="auto" w:fill="auto"/>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326,665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25,000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$ 76,284   </w:t>
            </w:r>
          </w:p>
        </w:tc>
      </w:tr>
      <w:tr w:rsidR="00A36745" w:rsidRPr="00BB199C" w:rsidTr="00BB199C">
        <w:trPr>
          <w:trHeight w:val="300"/>
        </w:trPr>
        <w:tc>
          <w:tcPr>
            <w:tcW w:w="6819" w:type="dxa"/>
            <w:shd w:val="clear" w:color="000000" w:fill="FFFFFF"/>
            <w:noWrap/>
            <w:vAlign w:val="bottom"/>
            <w:hideMark/>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USA Embassy – grant contract no. SMD700-13-CA002-A003</w:t>
            </w:r>
          </w:p>
        </w:tc>
        <w:tc>
          <w:tcPr>
            <w:tcW w:w="1276" w:type="dxa"/>
            <w:shd w:val="clear" w:color="000000" w:fill="FFFFFF"/>
            <w:noWrap/>
            <w:vAlign w:val="bottom"/>
            <w:hideMark/>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13</w:t>
            </w:r>
          </w:p>
        </w:tc>
        <w:tc>
          <w:tcPr>
            <w:tcW w:w="1275" w:type="dxa"/>
            <w:shd w:val="clear" w:color="000000" w:fill="FFFFFF"/>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1,792,875   </w:t>
            </w:r>
          </w:p>
        </w:tc>
        <w:tc>
          <w:tcPr>
            <w:tcW w:w="1417" w:type="dxa"/>
            <w:shd w:val="clear" w:color="000000" w:fill="FFFFFF"/>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142,595   </w:t>
            </w:r>
          </w:p>
        </w:tc>
        <w:tc>
          <w:tcPr>
            <w:tcW w:w="1418" w:type="dxa"/>
            <w:shd w:val="clear" w:color="auto" w:fill="auto"/>
            <w:noWrap/>
            <w:vAlign w:val="bottom"/>
            <w:hideMark/>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2,342,200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187,789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$ 187,789   </w:t>
            </w:r>
          </w:p>
        </w:tc>
      </w:tr>
      <w:tr w:rsidR="00A36745" w:rsidRPr="00BB199C" w:rsidTr="00BB199C">
        <w:trPr>
          <w:trHeight w:val="300"/>
        </w:trPr>
        <w:tc>
          <w:tcPr>
            <w:tcW w:w="6819" w:type="dxa"/>
            <w:shd w:val="clear" w:color="000000" w:fill="FFFFFF"/>
            <w:noWrap/>
            <w:vAlign w:val="bottom"/>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Ludwig Boltzmann - Institute of Human Rights</w:t>
            </w:r>
          </w:p>
        </w:tc>
        <w:tc>
          <w:tcPr>
            <w:tcW w:w="1276" w:type="dxa"/>
            <w:shd w:val="clear" w:color="000000" w:fill="FFFFFF"/>
            <w:noWrap/>
            <w:vAlign w:val="bottom"/>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14</w:t>
            </w:r>
          </w:p>
        </w:tc>
        <w:tc>
          <w:tcPr>
            <w:tcW w:w="1275"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133,157   </w:t>
            </w:r>
          </w:p>
        </w:tc>
        <w:tc>
          <w:tcPr>
            <w:tcW w:w="1417"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10,576*   </w:t>
            </w:r>
          </w:p>
        </w:tc>
        <w:tc>
          <w:tcPr>
            <w:tcW w:w="1418" w:type="dxa"/>
            <w:shd w:val="clear" w:color="auto" w:fill="auto"/>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348,933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28,391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€ 21,922   </w:t>
            </w:r>
          </w:p>
        </w:tc>
      </w:tr>
      <w:tr w:rsidR="00A36745" w:rsidRPr="00BB199C" w:rsidTr="00BB199C">
        <w:trPr>
          <w:trHeight w:val="300"/>
        </w:trPr>
        <w:tc>
          <w:tcPr>
            <w:tcW w:w="6819" w:type="dxa"/>
            <w:shd w:val="clear" w:color="000000" w:fill="FFFFFF"/>
            <w:noWrap/>
            <w:vAlign w:val="bottom"/>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rPr>
              <w:t>Foundation Open Society Institute Travel Grant</w:t>
            </w:r>
          </w:p>
        </w:tc>
        <w:tc>
          <w:tcPr>
            <w:tcW w:w="1276" w:type="dxa"/>
            <w:shd w:val="clear" w:color="000000" w:fill="FFFFFF"/>
            <w:noWrap/>
            <w:vAlign w:val="bottom"/>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15</w:t>
            </w:r>
          </w:p>
        </w:tc>
        <w:tc>
          <w:tcPr>
            <w:tcW w:w="1275"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22,658   </w:t>
            </w:r>
          </w:p>
        </w:tc>
        <w:tc>
          <w:tcPr>
            <w:tcW w:w="1417"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1,750   </w:t>
            </w:r>
          </w:p>
        </w:tc>
        <w:tc>
          <w:tcPr>
            <w:tcW w:w="1418" w:type="dxa"/>
            <w:shd w:val="clear" w:color="auto" w:fill="auto"/>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22,658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1,750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$ 1,750   </w:t>
            </w:r>
          </w:p>
        </w:tc>
      </w:tr>
      <w:tr w:rsidR="00A36745" w:rsidRPr="00BB199C" w:rsidTr="00BB199C">
        <w:trPr>
          <w:trHeight w:val="300"/>
        </w:trPr>
        <w:tc>
          <w:tcPr>
            <w:tcW w:w="6819" w:type="dxa"/>
            <w:shd w:val="clear" w:color="000000" w:fill="FFFFFF"/>
            <w:noWrap/>
            <w:vAlign w:val="bottom"/>
          </w:tcPr>
          <w:p w:rsidR="00A36745" w:rsidRPr="00BB199C" w:rsidRDefault="00A36745" w:rsidP="00BB199C">
            <w:pPr>
              <w:spacing w:after="0" w:line="240" w:lineRule="auto"/>
              <w:outlineLvl w:val="0"/>
              <w:rPr>
                <w:rFonts w:ascii="Arial" w:hAnsi="Arial" w:cs="Arial"/>
                <w:sz w:val="20"/>
                <w:szCs w:val="20"/>
                <w:lang w:val="en-US"/>
              </w:rPr>
            </w:pPr>
            <w:r w:rsidRPr="00BB199C">
              <w:rPr>
                <w:rFonts w:ascii="Arial" w:hAnsi="Arial" w:cs="Arial"/>
                <w:sz w:val="20"/>
                <w:szCs w:val="20"/>
                <w:lang w:val="en-US"/>
              </w:rPr>
              <w:t xml:space="preserve">Foundation Open Society Institute (Human Rights Initiative) - grant </w:t>
            </w:r>
            <w:r w:rsidRPr="00BB199C">
              <w:rPr>
                <w:rFonts w:ascii="Arial" w:hAnsi="Arial" w:cs="Arial"/>
                <w:sz w:val="20"/>
                <w:szCs w:val="20"/>
                <w:lang w:val="en-US" w:eastAsia="en-US"/>
              </w:rPr>
              <w:t>contract</w:t>
            </w:r>
            <w:r w:rsidRPr="00BB199C">
              <w:rPr>
                <w:rFonts w:ascii="Arial" w:hAnsi="Arial" w:cs="Arial"/>
                <w:sz w:val="20"/>
                <w:szCs w:val="20"/>
                <w:lang w:val="en-US"/>
              </w:rPr>
              <w:t xml:space="preserve"> no.OR2013-04095</w:t>
            </w:r>
          </w:p>
        </w:tc>
        <w:tc>
          <w:tcPr>
            <w:tcW w:w="1276" w:type="dxa"/>
            <w:shd w:val="clear" w:color="000000" w:fill="FFFFFF"/>
            <w:noWrap/>
            <w:vAlign w:val="bottom"/>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16</w:t>
            </w:r>
          </w:p>
        </w:tc>
        <w:tc>
          <w:tcPr>
            <w:tcW w:w="1275"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624,750   </w:t>
            </w:r>
          </w:p>
        </w:tc>
        <w:tc>
          <w:tcPr>
            <w:tcW w:w="1417"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50,000   </w:t>
            </w:r>
          </w:p>
        </w:tc>
        <w:tc>
          <w:tcPr>
            <w:tcW w:w="1418" w:type="dxa"/>
            <w:shd w:val="clear" w:color="auto" w:fill="auto"/>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624,750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50,000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$ 50,000   </w:t>
            </w:r>
          </w:p>
        </w:tc>
      </w:tr>
      <w:tr w:rsidR="00A36745" w:rsidRPr="00BB199C" w:rsidTr="00BB199C">
        <w:trPr>
          <w:trHeight w:val="300"/>
        </w:trPr>
        <w:tc>
          <w:tcPr>
            <w:tcW w:w="6819" w:type="dxa"/>
            <w:shd w:val="clear" w:color="000000" w:fill="FFFFFF"/>
            <w:noWrap/>
            <w:vAlign w:val="bottom"/>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ROLISP- grant contract no. 01</w:t>
            </w:r>
          </w:p>
        </w:tc>
        <w:tc>
          <w:tcPr>
            <w:tcW w:w="1276" w:type="dxa"/>
            <w:shd w:val="clear" w:color="000000" w:fill="FFFFFF"/>
            <w:noWrap/>
            <w:vAlign w:val="bottom"/>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17</w:t>
            </w:r>
          </w:p>
        </w:tc>
        <w:tc>
          <w:tcPr>
            <w:tcW w:w="1275"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277,072   </w:t>
            </w:r>
          </w:p>
        </w:tc>
        <w:tc>
          <w:tcPr>
            <w:tcW w:w="1417"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22,000   </w:t>
            </w:r>
          </w:p>
        </w:tc>
        <w:tc>
          <w:tcPr>
            <w:tcW w:w="1418" w:type="dxa"/>
            <w:shd w:val="clear" w:color="auto" w:fill="auto"/>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387,633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31,165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$ 69,165 </w:t>
            </w:r>
          </w:p>
        </w:tc>
      </w:tr>
      <w:tr w:rsidR="00A36745" w:rsidRPr="00BB199C" w:rsidTr="00BB199C">
        <w:trPr>
          <w:trHeight w:val="300"/>
        </w:trPr>
        <w:tc>
          <w:tcPr>
            <w:tcW w:w="6819" w:type="dxa"/>
            <w:shd w:val="clear" w:color="000000" w:fill="FFFFFF"/>
            <w:noWrap/>
            <w:vAlign w:val="bottom"/>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East European Foundation- grant no. 171 (EEF Institutional)</w:t>
            </w:r>
          </w:p>
        </w:tc>
        <w:tc>
          <w:tcPr>
            <w:tcW w:w="1276" w:type="dxa"/>
            <w:shd w:val="clear" w:color="000000" w:fill="FFFFFF"/>
            <w:noWrap/>
            <w:vAlign w:val="bottom"/>
          </w:tcPr>
          <w:p w:rsidR="00A36745" w:rsidRPr="00BB199C" w:rsidRDefault="00A36745" w:rsidP="00BB199C">
            <w:pPr>
              <w:spacing w:after="0" w:line="240" w:lineRule="auto"/>
              <w:jc w:val="center"/>
              <w:rPr>
                <w:rFonts w:ascii="Arial" w:hAnsi="Arial" w:cs="Arial"/>
                <w:sz w:val="20"/>
                <w:szCs w:val="20"/>
                <w:lang w:val="en-US" w:eastAsia="en-US"/>
              </w:rPr>
            </w:pPr>
            <w:r w:rsidRPr="00BB199C">
              <w:rPr>
                <w:rFonts w:ascii="Arial" w:hAnsi="Arial" w:cs="Arial"/>
                <w:sz w:val="20"/>
                <w:szCs w:val="20"/>
                <w:lang w:val="en-US" w:eastAsia="en-US"/>
              </w:rPr>
              <w:t>18</w:t>
            </w:r>
          </w:p>
        </w:tc>
        <w:tc>
          <w:tcPr>
            <w:tcW w:w="1275"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221,340   </w:t>
            </w:r>
          </w:p>
        </w:tc>
        <w:tc>
          <w:tcPr>
            <w:tcW w:w="1417"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17,000   </w:t>
            </w:r>
          </w:p>
        </w:tc>
        <w:tc>
          <w:tcPr>
            <w:tcW w:w="1418" w:type="dxa"/>
            <w:shd w:val="clear" w:color="auto" w:fill="auto"/>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221,340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xml:space="preserve">17,000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$ 18,650 </w:t>
            </w:r>
          </w:p>
        </w:tc>
      </w:tr>
      <w:tr w:rsidR="00A36745" w:rsidRPr="00BB199C" w:rsidTr="00BB199C">
        <w:trPr>
          <w:trHeight w:val="300"/>
        </w:trPr>
        <w:tc>
          <w:tcPr>
            <w:tcW w:w="6819" w:type="dxa"/>
            <w:shd w:val="clear" w:color="000000" w:fill="FFFFFF"/>
            <w:noWrap/>
            <w:vAlign w:val="bottom"/>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Other sources</w:t>
            </w:r>
          </w:p>
        </w:tc>
        <w:tc>
          <w:tcPr>
            <w:tcW w:w="1276" w:type="dxa"/>
            <w:shd w:val="clear" w:color="000000" w:fill="FFFFFF"/>
            <w:noWrap/>
            <w:vAlign w:val="bottom"/>
          </w:tcPr>
          <w:p w:rsidR="00A36745" w:rsidRPr="00BB199C" w:rsidRDefault="00A36745" w:rsidP="00BB199C">
            <w:pPr>
              <w:spacing w:after="0" w:line="240" w:lineRule="auto"/>
              <w:jc w:val="center"/>
              <w:rPr>
                <w:rFonts w:ascii="Arial" w:hAnsi="Arial" w:cs="Arial"/>
                <w:sz w:val="20"/>
                <w:szCs w:val="20"/>
                <w:lang w:val="en-US" w:eastAsia="en-US"/>
              </w:rPr>
            </w:pPr>
          </w:p>
        </w:tc>
        <w:tc>
          <w:tcPr>
            <w:tcW w:w="1275"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200 </w:t>
            </w:r>
          </w:p>
        </w:tc>
        <w:tc>
          <w:tcPr>
            <w:tcW w:w="1417" w:type="dxa"/>
            <w:shd w:val="clear" w:color="000000" w:fill="FFFFFF"/>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16 </w:t>
            </w:r>
          </w:p>
        </w:tc>
        <w:tc>
          <w:tcPr>
            <w:tcW w:w="1418" w:type="dxa"/>
            <w:shd w:val="clear" w:color="auto" w:fill="auto"/>
            <w:noWrap/>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1,000 </w:t>
            </w:r>
          </w:p>
        </w:tc>
        <w:tc>
          <w:tcPr>
            <w:tcW w:w="992"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82 </w:t>
            </w:r>
          </w:p>
        </w:tc>
        <w:tc>
          <w:tcPr>
            <w:tcW w:w="1275" w:type="dxa"/>
            <w:vAlign w:val="bottom"/>
          </w:tcPr>
          <w:p w:rsidR="00A36745" w:rsidRPr="00BB199C" w:rsidRDefault="00A36745" w:rsidP="00BB199C">
            <w:pPr>
              <w:spacing w:after="0" w:line="240" w:lineRule="auto"/>
              <w:jc w:val="right"/>
              <w:outlineLvl w:val="0"/>
              <w:rPr>
                <w:rFonts w:ascii="Arial" w:hAnsi="Arial" w:cs="Arial"/>
                <w:sz w:val="20"/>
                <w:szCs w:val="20"/>
                <w:lang w:val="en-US"/>
              </w:rPr>
            </w:pPr>
            <w:r w:rsidRPr="00BB199C">
              <w:rPr>
                <w:rFonts w:ascii="Arial" w:hAnsi="Arial" w:cs="Arial"/>
                <w:sz w:val="20"/>
                <w:szCs w:val="20"/>
                <w:lang w:val="en-US"/>
              </w:rPr>
              <w:t>- </w:t>
            </w:r>
          </w:p>
        </w:tc>
      </w:tr>
      <w:tr w:rsidR="00A36745" w:rsidRPr="00BB199C" w:rsidTr="00BB199C">
        <w:trPr>
          <w:trHeight w:val="300"/>
        </w:trPr>
        <w:tc>
          <w:tcPr>
            <w:tcW w:w="6819" w:type="dxa"/>
            <w:shd w:val="clear" w:color="000000" w:fill="FFFFFF"/>
            <w:noWrap/>
            <w:vAlign w:val="bottom"/>
          </w:tcPr>
          <w:p w:rsidR="00A36745" w:rsidRPr="00BB199C" w:rsidRDefault="00A36745" w:rsidP="00BB199C">
            <w:pPr>
              <w:spacing w:after="0" w:line="240" w:lineRule="auto"/>
              <w:rPr>
                <w:rFonts w:ascii="Arial" w:hAnsi="Arial" w:cs="Arial"/>
                <w:b/>
                <w:bCs/>
                <w:sz w:val="20"/>
                <w:szCs w:val="20"/>
                <w:lang w:val="en-US" w:eastAsia="en-US"/>
              </w:rPr>
            </w:pPr>
            <w:r w:rsidRPr="00BB199C">
              <w:rPr>
                <w:rFonts w:ascii="Arial" w:hAnsi="Arial" w:cs="Arial"/>
                <w:b/>
                <w:bCs/>
                <w:sz w:val="20"/>
                <w:szCs w:val="20"/>
                <w:lang w:val="en-US" w:eastAsia="en-US"/>
              </w:rPr>
              <w:t>Total Sources</w:t>
            </w:r>
          </w:p>
        </w:tc>
        <w:tc>
          <w:tcPr>
            <w:tcW w:w="1276" w:type="dxa"/>
            <w:shd w:val="clear" w:color="000000" w:fill="FFFFFF"/>
            <w:noWrap/>
            <w:vAlign w:val="bottom"/>
          </w:tcPr>
          <w:p w:rsidR="00A36745" w:rsidRPr="00BB199C" w:rsidRDefault="00A36745" w:rsidP="00BB199C">
            <w:pPr>
              <w:spacing w:after="0" w:line="240" w:lineRule="auto"/>
              <w:rPr>
                <w:rFonts w:ascii="Arial" w:hAnsi="Arial" w:cs="Arial"/>
                <w:sz w:val="20"/>
                <w:szCs w:val="20"/>
                <w:lang w:val="en-US" w:eastAsia="en-US"/>
              </w:rPr>
            </w:pPr>
            <w:r w:rsidRPr="00BB199C">
              <w:rPr>
                <w:rFonts w:ascii="Arial" w:hAnsi="Arial" w:cs="Arial"/>
                <w:sz w:val="20"/>
                <w:szCs w:val="20"/>
                <w:lang w:val="en-US" w:eastAsia="en-US"/>
              </w:rPr>
              <w:t> </w:t>
            </w:r>
          </w:p>
        </w:tc>
        <w:tc>
          <w:tcPr>
            <w:tcW w:w="1275" w:type="dxa"/>
            <w:shd w:val="clear" w:color="000000" w:fill="FFFFFF"/>
            <w:noWrap/>
            <w:vAlign w:val="bottom"/>
          </w:tcPr>
          <w:p w:rsidR="00A36745" w:rsidRPr="00BB199C" w:rsidRDefault="00A36745" w:rsidP="00BB199C">
            <w:pPr>
              <w:spacing w:after="0" w:line="240" w:lineRule="auto"/>
              <w:jc w:val="right"/>
              <w:outlineLvl w:val="0"/>
              <w:rPr>
                <w:rFonts w:ascii="Arial" w:hAnsi="Arial" w:cs="Arial"/>
                <w:b/>
                <w:sz w:val="20"/>
                <w:szCs w:val="20"/>
                <w:lang w:val="en-US"/>
              </w:rPr>
            </w:pPr>
            <w:r w:rsidRPr="00BB199C">
              <w:rPr>
                <w:rFonts w:ascii="Arial" w:hAnsi="Arial" w:cs="Arial"/>
                <w:b/>
                <w:sz w:val="20"/>
                <w:szCs w:val="20"/>
                <w:lang w:val="en-US"/>
              </w:rPr>
              <w:t xml:space="preserve">3,529,253   </w:t>
            </w:r>
          </w:p>
        </w:tc>
        <w:tc>
          <w:tcPr>
            <w:tcW w:w="1417" w:type="dxa"/>
            <w:shd w:val="clear" w:color="000000" w:fill="FFFFFF"/>
            <w:noWrap/>
            <w:vAlign w:val="bottom"/>
          </w:tcPr>
          <w:p w:rsidR="00A36745" w:rsidRPr="00BB199C" w:rsidRDefault="00A36745" w:rsidP="00BB199C">
            <w:pPr>
              <w:spacing w:after="0" w:line="240" w:lineRule="auto"/>
              <w:jc w:val="right"/>
              <w:outlineLvl w:val="0"/>
              <w:rPr>
                <w:rFonts w:ascii="Arial" w:hAnsi="Arial" w:cs="Arial"/>
                <w:b/>
                <w:sz w:val="20"/>
                <w:szCs w:val="20"/>
                <w:lang w:val="en-US"/>
              </w:rPr>
            </w:pPr>
            <w:r w:rsidRPr="00BB199C">
              <w:rPr>
                <w:rFonts w:ascii="Arial" w:hAnsi="Arial" w:cs="Arial"/>
                <w:b/>
                <w:sz w:val="20"/>
                <w:szCs w:val="20"/>
                <w:lang w:val="en-US"/>
              </w:rPr>
              <w:t xml:space="preserve">278,937   </w:t>
            </w:r>
          </w:p>
        </w:tc>
        <w:tc>
          <w:tcPr>
            <w:tcW w:w="1418" w:type="dxa"/>
            <w:shd w:val="clear" w:color="auto" w:fill="auto"/>
            <w:noWrap/>
            <w:vAlign w:val="bottom"/>
          </w:tcPr>
          <w:p w:rsidR="00A36745" w:rsidRPr="00BB199C" w:rsidRDefault="00A36745" w:rsidP="00BB199C">
            <w:pPr>
              <w:spacing w:after="0" w:line="240" w:lineRule="auto"/>
              <w:jc w:val="right"/>
              <w:outlineLvl w:val="0"/>
              <w:rPr>
                <w:rFonts w:ascii="Arial" w:hAnsi="Arial" w:cs="Arial"/>
                <w:b/>
                <w:sz w:val="20"/>
                <w:szCs w:val="20"/>
                <w:lang w:val="en-US"/>
              </w:rPr>
            </w:pPr>
            <w:r w:rsidRPr="00BB199C">
              <w:rPr>
                <w:rFonts w:ascii="Arial" w:hAnsi="Arial" w:cs="Arial"/>
                <w:b/>
                <w:sz w:val="20"/>
                <w:szCs w:val="20"/>
                <w:lang w:val="en-US"/>
              </w:rPr>
              <w:t xml:space="preserve">5,100,987   </w:t>
            </w:r>
          </w:p>
        </w:tc>
        <w:tc>
          <w:tcPr>
            <w:tcW w:w="992" w:type="dxa"/>
            <w:vAlign w:val="bottom"/>
          </w:tcPr>
          <w:p w:rsidR="00A36745" w:rsidRPr="00BB199C" w:rsidRDefault="00A36745" w:rsidP="00BB199C">
            <w:pPr>
              <w:spacing w:after="0" w:line="240" w:lineRule="auto"/>
              <w:jc w:val="right"/>
              <w:outlineLvl w:val="0"/>
              <w:rPr>
                <w:rFonts w:ascii="Arial" w:hAnsi="Arial" w:cs="Arial"/>
                <w:b/>
                <w:sz w:val="20"/>
                <w:szCs w:val="20"/>
                <w:lang w:val="en-US"/>
              </w:rPr>
            </w:pPr>
            <w:r w:rsidRPr="00BB199C">
              <w:rPr>
                <w:rFonts w:ascii="Arial" w:hAnsi="Arial" w:cs="Arial"/>
                <w:b/>
                <w:sz w:val="20"/>
                <w:szCs w:val="20"/>
                <w:lang w:val="en-US"/>
              </w:rPr>
              <w:t xml:space="preserve">409,177   </w:t>
            </w:r>
          </w:p>
        </w:tc>
        <w:tc>
          <w:tcPr>
            <w:tcW w:w="1275" w:type="dxa"/>
            <w:vAlign w:val="bottom"/>
          </w:tcPr>
          <w:p w:rsidR="00A36745" w:rsidRPr="00BB199C" w:rsidRDefault="00A36745" w:rsidP="00BB199C">
            <w:pPr>
              <w:spacing w:after="0" w:line="240" w:lineRule="auto"/>
              <w:jc w:val="right"/>
              <w:outlineLvl w:val="0"/>
              <w:rPr>
                <w:rFonts w:ascii="Arial" w:hAnsi="Arial" w:cs="Arial"/>
                <w:b/>
                <w:sz w:val="20"/>
                <w:szCs w:val="20"/>
                <w:lang w:val="en-US"/>
              </w:rPr>
            </w:pPr>
          </w:p>
        </w:tc>
      </w:tr>
    </w:tbl>
    <w:p w:rsidR="00287CBC" w:rsidRPr="00BB199C" w:rsidRDefault="00287CBC" w:rsidP="004C5299">
      <w:pPr>
        <w:spacing w:after="0" w:line="360" w:lineRule="auto"/>
        <w:rPr>
          <w:rFonts w:ascii="Times New Roman" w:eastAsia="SimSun" w:hAnsi="Times New Roman" w:cs="Times New Roman"/>
          <w:lang w:val="en-US" w:eastAsia="zh-CN"/>
        </w:rPr>
        <w:sectPr w:rsidR="00287CBC" w:rsidRPr="00BB199C" w:rsidSect="00FF06C8">
          <w:pgSz w:w="16838" w:h="11906" w:orient="landscape"/>
          <w:pgMar w:top="1134" w:right="851" w:bottom="1134" w:left="992" w:header="709" w:footer="709" w:gutter="0"/>
          <w:cols w:space="708"/>
          <w:docGrid w:linePitch="360"/>
        </w:sectPr>
      </w:pPr>
    </w:p>
    <w:p w:rsidR="00C87745" w:rsidRPr="00D2304A" w:rsidRDefault="00C87745" w:rsidP="00332ADA">
      <w:pPr>
        <w:spacing w:after="0" w:line="288" w:lineRule="auto"/>
        <w:contextualSpacing/>
        <w:jc w:val="both"/>
        <w:rPr>
          <w:rFonts w:ascii="Times New Roman" w:hAnsi="Times New Roman" w:cs="Times New Roman"/>
          <w:color w:val="FF0000"/>
          <w:lang w:val="ro-MO"/>
        </w:rPr>
      </w:pPr>
    </w:p>
    <w:sectPr w:rsidR="00C87745" w:rsidRPr="00D2304A" w:rsidSect="00742289">
      <w:pgSz w:w="11906" w:h="16838"/>
      <w:pgMar w:top="851" w:right="1134" w:bottom="992"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4-05-14T11:22:00Z" w:initials="u">
    <w:p w:rsidR="004F066E" w:rsidRDefault="004F066E">
      <w:pPr>
        <w:pStyle w:val="CommentText"/>
      </w:pPr>
      <w:r>
        <w:rPr>
          <w:rStyle w:val="CommentReference"/>
        </w:rPr>
        <w:annotationRef/>
      </w:r>
      <w:r>
        <w:t>Traducerea initiala. Inlocuit aici si mai departe in text</w:t>
      </w:r>
    </w:p>
  </w:comment>
  <w:comment w:id="1" w:author="user" w:date="2014-05-14T11:17:00Z" w:initials="u">
    <w:p w:rsidR="004F066E" w:rsidRDefault="004F066E">
      <w:pPr>
        <w:pStyle w:val="CommentText"/>
      </w:pPr>
      <w:r>
        <w:rPr>
          <w:rStyle w:val="CommentReference"/>
        </w:rPr>
        <w:annotationRef/>
      </w:r>
      <w:r>
        <w:t>Varianta tradusa de ea</w:t>
      </w:r>
    </w:p>
  </w:comment>
  <w:comment w:id="2" w:author="user" w:date="2014-05-14T11:24:00Z" w:initials="u">
    <w:p w:rsidR="004F066E" w:rsidRPr="00C42EC3" w:rsidRDefault="004F066E" w:rsidP="00C42EC3">
      <w:pPr>
        <w:pStyle w:val="ListParagraph"/>
        <w:spacing w:after="0" w:line="288" w:lineRule="auto"/>
        <w:ind w:left="0"/>
        <w:jc w:val="both"/>
        <w:rPr>
          <w:rFonts w:cs="Times New Roman"/>
          <w:bCs/>
        </w:rPr>
      </w:pPr>
      <w:r>
        <w:rPr>
          <w:rStyle w:val="CommentReference"/>
        </w:rPr>
        <w:annotationRef/>
      </w:r>
      <w:r>
        <w:t xml:space="preserve">Lateral: </w:t>
      </w:r>
      <w:r w:rsidRPr="00C42EC3">
        <w:rPr>
          <w:rFonts w:cs="Times New Roman"/>
          <w:bCs/>
        </w:rPr>
        <w:t xml:space="preserve">In 2013, the LRCM developed 3 studies that will serve as basis for the state policies on justice reform. They refer to </w:t>
      </w:r>
      <w:r>
        <w:rPr>
          <w:rFonts w:cs="Times New Roman"/>
          <w:bCs/>
          <w:color w:val="FF0000"/>
        </w:rPr>
        <w:t>optimizing</w:t>
      </w:r>
      <w:r w:rsidRPr="00C42EC3">
        <w:rPr>
          <w:rFonts w:cs="Times New Roman"/>
          <w:bCs/>
        </w:rPr>
        <w:t xml:space="preserve"> the court map; specialization of judges; and </w:t>
      </w:r>
      <w:r>
        <w:rPr>
          <w:rFonts w:cs="Times New Roman"/>
          <w:bCs/>
          <w:color w:val="FF0000"/>
        </w:rPr>
        <w:t>optimizing</w:t>
      </w:r>
      <w:r w:rsidRPr="00C42EC3">
        <w:rPr>
          <w:rFonts w:cs="Times New Roman"/>
          <w:bCs/>
        </w:rPr>
        <w:t xml:space="preserve"> the structure of the prosecution. </w:t>
      </w:r>
    </w:p>
    <w:p w:rsidR="004F066E" w:rsidRDefault="004F066E">
      <w:pPr>
        <w:pStyle w:val="CommentText"/>
      </w:pPr>
    </w:p>
  </w:comment>
  <w:comment w:id="3" w:author="user" w:date="2014-05-14T11:32:00Z" w:initials="u">
    <w:p w:rsidR="004F066E" w:rsidRDefault="004F066E">
      <w:pPr>
        <w:pStyle w:val="CommentText"/>
      </w:pPr>
      <w:r>
        <w:rPr>
          <w:rStyle w:val="CommentReference"/>
        </w:rPr>
        <w:annotationRef/>
      </w:r>
      <w:r>
        <w:t>Varianta initiala. Inlocuit aici si mai departe</w:t>
      </w:r>
    </w:p>
  </w:comment>
  <w:comment w:id="4" w:author="user" w:date="2014-05-14T11:35:00Z" w:initials="u">
    <w:p w:rsidR="004F066E" w:rsidRDefault="004F066E">
      <w:pPr>
        <w:pStyle w:val="CommentText"/>
      </w:pPr>
      <w:r>
        <w:rPr>
          <w:rStyle w:val="CommentReference"/>
        </w:rPr>
        <w:annotationRef/>
      </w:r>
      <w:r>
        <w:t>Aici si mai jos de eliminat?</w:t>
      </w:r>
    </w:p>
  </w:comment>
  <w:comment w:id="5" w:author="user" w:date="2014-05-15T17:00:00Z" w:initials="u">
    <w:p w:rsidR="007A4BE7" w:rsidRDefault="007A4BE7">
      <w:pPr>
        <w:pStyle w:val="CommentText"/>
      </w:pPr>
      <w:r>
        <w:rPr>
          <w:rStyle w:val="CommentReference"/>
        </w:rPr>
        <w:annotationRef/>
      </w:r>
      <w:r>
        <w:t xml:space="preserve">Pe imaginea adaugata lateral sa fie link: </w:t>
      </w:r>
      <w:r w:rsidRPr="007A4BE7">
        <w:t>http://crjm.org/app/webroot/uploaded/2014%20Study%20Optimis%20Jud%20Map%20MD_en.pdf</w:t>
      </w:r>
      <w:r>
        <w:t xml:space="preserve"> </w:t>
      </w:r>
    </w:p>
  </w:comment>
  <w:comment w:id="6" w:author="user" w:date="2014-05-15T17:01:00Z" w:initials="u">
    <w:p w:rsidR="00FE516B" w:rsidRDefault="00FE516B">
      <w:pPr>
        <w:pStyle w:val="CommentText"/>
      </w:pPr>
      <w:r>
        <w:rPr>
          <w:rStyle w:val="CommentReference"/>
        </w:rPr>
        <w:annotationRef/>
      </w:r>
      <w:r>
        <w:t xml:space="preserve">Pe imaginea adaugata lateral sa fie link: </w:t>
      </w:r>
      <w:r w:rsidRPr="00FE516B">
        <w:t>http://crjm.org/app/webroot/uploaded/2014%20Study%20Specialis%20Judges%20MD_en.pdf</w:t>
      </w:r>
    </w:p>
  </w:comment>
  <w:comment w:id="7" w:author="user" w:date="2014-05-13T15:22:00Z" w:initials="u">
    <w:p w:rsidR="004F066E" w:rsidRDefault="004F066E">
      <w:pPr>
        <w:pStyle w:val="CommentText"/>
      </w:pPr>
      <w:r>
        <w:rPr>
          <w:rStyle w:val="CommentReference"/>
        </w:rPr>
        <w:annotationRef/>
      </w:r>
      <w:r>
        <w:t xml:space="preserve">Lateral: </w:t>
      </w:r>
      <w:r w:rsidRPr="008975F4">
        <w:rPr>
          <w:rFonts w:ascii="Tahoma" w:hAnsi="Tahoma" w:cs="Tahoma"/>
        </w:rPr>
        <w:t>Recommendations were made to the SCM on how to improve its internal procedures and enhance transparency</w:t>
      </w:r>
    </w:p>
  </w:comment>
  <w:comment w:id="8" w:author="user" w:date="2014-05-13T15:28:00Z" w:initials="u">
    <w:p w:rsidR="004F066E" w:rsidRPr="0088593C" w:rsidRDefault="004F066E">
      <w:pPr>
        <w:pStyle w:val="CommentText"/>
      </w:pPr>
      <w:r>
        <w:rPr>
          <w:rStyle w:val="CommentReference"/>
        </w:rPr>
        <w:annotationRef/>
      </w:r>
      <w:r>
        <w:t xml:space="preserve">Lateral: </w:t>
      </w:r>
      <w:r w:rsidRPr="0088593C">
        <w:rPr>
          <w:rFonts w:ascii="Tahoma" w:hAnsi="Tahoma" w:cs="Tahoma"/>
        </w:rPr>
        <w:t>The LRCM contributed to creating a new mechanism of evaluating judge performance</w:t>
      </w:r>
    </w:p>
  </w:comment>
  <w:comment w:id="9" w:author="user" w:date="2014-05-13T16:59:00Z" w:initials="u">
    <w:p w:rsidR="004F066E" w:rsidRDefault="004F066E">
      <w:pPr>
        <w:pStyle w:val="CommentText"/>
      </w:pPr>
      <w:r>
        <w:rPr>
          <w:rStyle w:val="CommentReference"/>
        </w:rPr>
        <w:annotationRef/>
      </w:r>
      <w:r>
        <w:t>Lateral</w:t>
      </w:r>
      <w:r w:rsidRPr="00016534">
        <w:t xml:space="preserve">: </w:t>
      </w:r>
      <w:r w:rsidRPr="00016534">
        <w:rPr>
          <w:rFonts w:ascii="Tahoma" w:hAnsi="Tahoma" w:cs="Tahoma"/>
        </w:rPr>
        <w:t>Through the efforts made, the LRCM contributed to enhancing the mechanisms for holding judges accountable.</w:t>
      </w:r>
    </w:p>
  </w:comment>
  <w:comment w:id="10" w:author="user" w:date="2014-05-13T17:15:00Z" w:initials="u">
    <w:p w:rsidR="004F066E" w:rsidRDefault="004F066E">
      <w:pPr>
        <w:pStyle w:val="CommentText"/>
      </w:pPr>
      <w:r>
        <w:rPr>
          <w:rStyle w:val="CommentReference"/>
        </w:rPr>
        <w:annotationRef/>
      </w:r>
      <w:r>
        <w:t xml:space="preserve">Lateral: </w:t>
      </w:r>
      <w:r>
        <w:rPr>
          <w:rFonts w:cs="Times New Roman"/>
        </w:rPr>
        <w:t>The LRCM</w:t>
      </w:r>
      <w:r w:rsidRPr="00F64678">
        <w:rPr>
          <w:rFonts w:cs="Times New Roman"/>
          <w:lang w:val="en-US"/>
        </w:rPr>
        <w:t xml:space="preserve"> </w:t>
      </w:r>
      <w:r>
        <w:rPr>
          <w:rFonts w:cs="Times New Roman"/>
        </w:rPr>
        <w:t>efforts led to introducing into the legislation of a mechanism for the transparent selection of the members of self-regulation bodies of judges and prosecutors</w:t>
      </w:r>
    </w:p>
  </w:comment>
  <w:comment w:id="11" w:author="user" w:date="2014-05-13T17:20:00Z" w:initials="u">
    <w:p w:rsidR="004F066E" w:rsidRDefault="004F066E">
      <w:pPr>
        <w:pStyle w:val="CommentText"/>
      </w:pPr>
      <w:r>
        <w:rPr>
          <w:rStyle w:val="CommentReference"/>
        </w:rPr>
        <w:annotationRef/>
      </w:r>
      <w:r>
        <w:t xml:space="preserve">Lateral: </w:t>
      </w:r>
      <w:r>
        <w:rPr>
          <w:rFonts w:cs="Times New Roman"/>
          <w:bCs/>
        </w:rPr>
        <w:t xml:space="preserve">The </w:t>
      </w:r>
      <w:r>
        <w:rPr>
          <w:rFonts w:cs="Times New Roman"/>
        </w:rPr>
        <w:t xml:space="preserve">LRCM </w:t>
      </w:r>
      <w:r>
        <w:t>contributed to the start of work on a new national mechanism for enforcing and supervising the enforcement of ECtHR judgments</w:t>
      </w:r>
    </w:p>
  </w:comment>
  <w:comment w:id="12" w:author="user" w:date="2014-05-13T17:24:00Z" w:initials="u">
    <w:p w:rsidR="004F066E" w:rsidRPr="00D8405F" w:rsidRDefault="004F066E">
      <w:pPr>
        <w:pStyle w:val="CommentText"/>
      </w:pPr>
      <w:r>
        <w:rPr>
          <w:rStyle w:val="CommentReference"/>
        </w:rPr>
        <w:annotationRef/>
      </w:r>
      <w:r>
        <w:t xml:space="preserve">Lateral: </w:t>
      </w:r>
      <w:r w:rsidRPr="00D8405F">
        <w:t>The LRCM team provided assistance to judges, prosecutors and attorneys on the adequate enforcement of ECtHR standards</w:t>
      </w:r>
    </w:p>
  </w:comment>
  <w:comment w:id="13" w:author="user" w:date="2014-05-13T17:28:00Z" w:initials="u">
    <w:p w:rsidR="004F066E" w:rsidRDefault="004F066E">
      <w:pPr>
        <w:pStyle w:val="CommentText"/>
      </w:pPr>
      <w:r>
        <w:rPr>
          <w:rStyle w:val="CommentReference"/>
        </w:rPr>
        <w:annotationRef/>
      </w:r>
      <w:r>
        <w:t xml:space="preserve">Lateral: </w:t>
      </w:r>
      <w:r>
        <w:rPr>
          <w:rFonts w:cs="Times New Roman"/>
        </w:rPr>
        <w:t xml:space="preserve">The </w:t>
      </w:r>
      <w:r>
        <w:rPr>
          <w:rFonts w:cs="Times New Roman"/>
          <w:color w:val="000000"/>
          <w:shd w:val="clear" w:color="auto" w:fill="FFFFFF"/>
        </w:rPr>
        <w:t xml:space="preserve">LRCM </w:t>
      </w:r>
      <w:r>
        <w:t>contributed to developing internal rules for prosecutors on investigation of torture</w:t>
      </w:r>
    </w:p>
  </w:comment>
  <w:comment w:id="14" w:author="user" w:date="2014-05-13T17:31:00Z" w:initials="u">
    <w:p w:rsidR="004F066E" w:rsidRDefault="004F066E">
      <w:pPr>
        <w:pStyle w:val="CommentText"/>
      </w:pPr>
      <w:r>
        <w:rPr>
          <w:rStyle w:val="CommentReference"/>
        </w:rPr>
        <w:annotationRef/>
      </w:r>
      <w:r>
        <w:t xml:space="preserve">Lateral: </w:t>
      </w:r>
      <w:r>
        <w:rPr>
          <w:rFonts w:cs="Times New Roman"/>
          <w:color w:val="000000"/>
          <w:shd w:val="clear" w:color="auto" w:fill="FFFFFF"/>
        </w:rPr>
        <w:t xml:space="preserve">LRCM </w:t>
      </w:r>
      <w:r>
        <w:t>experts disclosed serious systematic problems in enforcing pretrial detention</w:t>
      </w:r>
    </w:p>
  </w:comment>
  <w:comment w:id="15" w:author="user" w:date="2014-05-13T17:37:00Z" w:initials="u">
    <w:p w:rsidR="004F066E" w:rsidRDefault="004F066E">
      <w:pPr>
        <w:pStyle w:val="CommentText"/>
      </w:pPr>
      <w:r>
        <w:rPr>
          <w:rStyle w:val="CommentReference"/>
        </w:rPr>
        <w:annotationRef/>
      </w:r>
      <w:r>
        <w:t xml:space="preserve">Lateral: </w:t>
      </w:r>
      <w:r w:rsidRPr="00036E7E">
        <w:rPr>
          <w:rFonts w:eastAsia="SimSun" w:cs="Times New Roman"/>
          <w:lang w:eastAsia="zh-CN"/>
        </w:rPr>
        <w:t>According to the situation as of February 2014, the organization’s budget doubled as compared to 2013, and is covered with funds at a rate of 90%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94F" w:rsidRDefault="003F294F" w:rsidP="00E01C79">
      <w:pPr>
        <w:spacing w:after="0" w:line="240" w:lineRule="auto"/>
      </w:pPr>
      <w:r>
        <w:separator/>
      </w:r>
    </w:p>
  </w:endnote>
  <w:endnote w:type="continuationSeparator" w:id="1">
    <w:p w:rsidR="003F294F" w:rsidRDefault="003F294F" w:rsidP="00E01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2618"/>
      <w:docPartObj>
        <w:docPartGallery w:val="Page Numbers (Bottom of Page)"/>
        <w:docPartUnique/>
      </w:docPartObj>
    </w:sdtPr>
    <w:sdtContent>
      <w:p w:rsidR="004F066E" w:rsidRDefault="00BE66E9">
        <w:pPr>
          <w:pStyle w:val="Footer"/>
          <w:jc w:val="right"/>
        </w:pPr>
        <w:fldSimple w:instr=" PAGE   \* MERGEFORMAT ">
          <w:r w:rsidR="00FE516B">
            <w:rPr>
              <w:noProof/>
            </w:rPr>
            <w:t>5</w:t>
          </w:r>
        </w:fldSimple>
      </w:p>
    </w:sdtContent>
  </w:sdt>
  <w:p w:rsidR="004F066E" w:rsidRDefault="004F0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94F" w:rsidRDefault="003F294F" w:rsidP="00E01C79">
      <w:pPr>
        <w:spacing w:after="0" w:line="240" w:lineRule="auto"/>
      </w:pPr>
      <w:r>
        <w:separator/>
      </w:r>
    </w:p>
  </w:footnote>
  <w:footnote w:type="continuationSeparator" w:id="1">
    <w:p w:rsidR="003F294F" w:rsidRDefault="003F294F" w:rsidP="00E01C79">
      <w:pPr>
        <w:spacing w:after="0" w:line="240" w:lineRule="auto"/>
      </w:pPr>
      <w:r>
        <w:continuationSeparator/>
      </w:r>
    </w:p>
  </w:footnote>
  <w:footnote w:id="2">
    <w:p w:rsidR="004F066E" w:rsidRPr="00496002" w:rsidRDefault="004F066E" w:rsidP="00496002">
      <w:pPr>
        <w:pStyle w:val="FootnoteText"/>
        <w:spacing w:line="288" w:lineRule="auto"/>
        <w:rPr>
          <w:sz w:val="18"/>
          <w:szCs w:val="18"/>
        </w:rPr>
      </w:pPr>
      <w:r w:rsidRPr="00496002">
        <w:rPr>
          <w:rStyle w:val="FootnoteReference"/>
          <w:sz w:val="18"/>
          <w:szCs w:val="18"/>
        </w:rPr>
        <w:footnoteRef/>
      </w:r>
      <w:r w:rsidRPr="00496002">
        <w:rPr>
          <w:sz w:val="18"/>
          <w:szCs w:val="18"/>
        </w:rPr>
        <w:t xml:space="preserve"> Extras </w:t>
      </w:r>
      <w:r w:rsidRPr="00A83D59">
        <w:rPr>
          <w:sz w:val="18"/>
          <w:szCs w:val="18"/>
          <w:lang w:val="en-US"/>
        </w:rPr>
        <w:t>from the</w:t>
      </w:r>
      <w:r>
        <w:rPr>
          <w:sz w:val="18"/>
          <w:szCs w:val="18"/>
        </w:rPr>
        <w:t xml:space="preserve"> CRJM Audit</w:t>
      </w:r>
      <w:r w:rsidRPr="00496002">
        <w:rPr>
          <w:sz w:val="18"/>
          <w:szCs w:val="18"/>
        </w:rPr>
        <w:t xml:space="preserve"> </w:t>
      </w:r>
      <w:r>
        <w:rPr>
          <w:sz w:val="18"/>
          <w:szCs w:val="18"/>
        </w:rPr>
        <w:t>report for</w:t>
      </w:r>
      <w:r w:rsidRPr="00496002">
        <w:rPr>
          <w:sz w:val="18"/>
          <w:szCs w:val="18"/>
        </w:rPr>
        <w:t xml:space="preserve"> 2013</w:t>
      </w:r>
    </w:p>
  </w:footnote>
  <w:footnote w:id="3">
    <w:p w:rsidR="004F066E" w:rsidRPr="006766A8" w:rsidRDefault="004F066E" w:rsidP="00496002">
      <w:pPr>
        <w:pStyle w:val="FootnoteText"/>
        <w:spacing w:line="288" w:lineRule="auto"/>
        <w:rPr>
          <w:sz w:val="18"/>
          <w:szCs w:val="18"/>
        </w:rPr>
      </w:pPr>
      <w:r w:rsidRPr="006766A8">
        <w:rPr>
          <w:rStyle w:val="FootnoteReference"/>
          <w:sz w:val="18"/>
          <w:szCs w:val="18"/>
        </w:rPr>
        <w:footnoteRef/>
      </w:r>
      <w:r w:rsidRPr="006766A8">
        <w:rPr>
          <w:sz w:val="18"/>
          <w:szCs w:val="18"/>
        </w:rPr>
        <w:t xml:space="preserve"> </w:t>
      </w:r>
      <w:r w:rsidRPr="00496002">
        <w:rPr>
          <w:sz w:val="18"/>
          <w:szCs w:val="18"/>
        </w:rPr>
        <w:t xml:space="preserve">Extras </w:t>
      </w:r>
      <w:r w:rsidRPr="00A83D59">
        <w:rPr>
          <w:sz w:val="18"/>
          <w:szCs w:val="18"/>
          <w:lang w:val="en-US"/>
        </w:rPr>
        <w:t>from the</w:t>
      </w:r>
      <w:r>
        <w:rPr>
          <w:sz w:val="18"/>
          <w:szCs w:val="18"/>
        </w:rPr>
        <w:t xml:space="preserve"> CRJM Audit</w:t>
      </w:r>
      <w:r w:rsidRPr="00496002">
        <w:rPr>
          <w:sz w:val="18"/>
          <w:szCs w:val="18"/>
        </w:rPr>
        <w:t xml:space="preserve"> </w:t>
      </w:r>
      <w:r>
        <w:rPr>
          <w:sz w:val="18"/>
          <w:szCs w:val="18"/>
        </w:rPr>
        <w:t>report for</w:t>
      </w:r>
      <w:r w:rsidRPr="00496002">
        <w:rPr>
          <w:sz w:val="18"/>
          <w:szCs w:val="18"/>
        </w:rPr>
        <w:t xml:space="preserve">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2D9"/>
    <w:multiLevelType w:val="hybridMultilevel"/>
    <w:tmpl w:val="F4FC011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3C7ED1"/>
    <w:multiLevelType w:val="hybridMultilevel"/>
    <w:tmpl w:val="C598F50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5145035"/>
    <w:multiLevelType w:val="hybridMultilevel"/>
    <w:tmpl w:val="3E08072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4E34E32"/>
    <w:multiLevelType w:val="hybridMultilevel"/>
    <w:tmpl w:val="446EA126"/>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
    <w:nsid w:val="2BD963D4"/>
    <w:multiLevelType w:val="hybridMultilevel"/>
    <w:tmpl w:val="B25AAF42"/>
    <w:lvl w:ilvl="0" w:tplc="13CE32E4">
      <w:start w:val="2013"/>
      <w:numFmt w:val="bullet"/>
      <w:lvlText w:val="-"/>
      <w:lvlJc w:val="left"/>
      <w:pPr>
        <w:ind w:left="648" w:hanging="360"/>
      </w:pPr>
      <w:rPr>
        <w:rFonts w:ascii="Calibri" w:eastAsia="Calibri" w:hAnsi="Calibri" w:cs="Arial" w:hint="default"/>
      </w:rPr>
    </w:lvl>
    <w:lvl w:ilvl="1" w:tplc="08090003">
      <w:start w:val="1"/>
      <w:numFmt w:val="bullet"/>
      <w:lvlText w:val="o"/>
      <w:lvlJc w:val="left"/>
      <w:pPr>
        <w:ind w:left="1368" w:hanging="360"/>
      </w:pPr>
      <w:rPr>
        <w:rFonts w:ascii="Courier New" w:hAnsi="Courier New" w:cs="Courier New" w:hint="default"/>
      </w:rPr>
    </w:lvl>
    <w:lvl w:ilvl="2" w:tplc="08090005">
      <w:start w:val="1"/>
      <w:numFmt w:val="bullet"/>
      <w:lvlText w:val=""/>
      <w:lvlJc w:val="left"/>
      <w:pPr>
        <w:ind w:left="2088" w:hanging="360"/>
      </w:pPr>
      <w:rPr>
        <w:rFonts w:ascii="Wingdings" w:hAnsi="Wingdings" w:hint="default"/>
      </w:rPr>
    </w:lvl>
    <w:lvl w:ilvl="3" w:tplc="08090001">
      <w:start w:val="1"/>
      <w:numFmt w:val="bullet"/>
      <w:lvlText w:val=""/>
      <w:lvlJc w:val="left"/>
      <w:pPr>
        <w:ind w:left="2808" w:hanging="360"/>
      </w:pPr>
      <w:rPr>
        <w:rFonts w:ascii="Symbol" w:hAnsi="Symbol" w:hint="default"/>
      </w:rPr>
    </w:lvl>
    <w:lvl w:ilvl="4" w:tplc="08090003">
      <w:start w:val="1"/>
      <w:numFmt w:val="bullet"/>
      <w:lvlText w:val="o"/>
      <w:lvlJc w:val="left"/>
      <w:pPr>
        <w:ind w:left="3528" w:hanging="360"/>
      </w:pPr>
      <w:rPr>
        <w:rFonts w:ascii="Courier New" w:hAnsi="Courier New" w:cs="Courier New" w:hint="default"/>
      </w:rPr>
    </w:lvl>
    <w:lvl w:ilvl="5" w:tplc="08090005">
      <w:start w:val="1"/>
      <w:numFmt w:val="bullet"/>
      <w:lvlText w:val=""/>
      <w:lvlJc w:val="left"/>
      <w:pPr>
        <w:ind w:left="4248" w:hanging="360"/>
      </w:pPr>
      <w:rPr>
        <w:rFonts w:ascii="Wingdings" w:hAnsi="Wingdings" w:hint="default"/>
      </w:rPr>
    </w:lvl>
    <w:lvl w:ilvl="6" w:tplc="08090001">
      <w:start w:val="1"/>
      <w:numFmt w:val="bullet"/>
      <w:lvlText w:val=""/>
      <w:lvlJc w:val="left"/>
      <w:pPr>
        <w:ind w:left="4968" w:hanging="360"/>
      </w:pPr>
      <w:rPr>
        <w:rFonts w:ascii="Symbol" w:hAnsi="Symbol" w:hint="default"/>
      </w:rPr>
    </w:lvl>
    <w:lvl w:ilvl="7" w:tplc="08090003">
      <w:start w:val="1"/>
      <w:numFmt w:val="bullet"/>
      <w:lvlText w:val="o"/>
      <w:lvlJc w:val="left"/>
      <w:pPr>
        <w:ind w:left="5688" w:hanging="360"/>
      </w:pPr>
      <w:rPr>
        <w:rFonts w:ascii="Courier New" w:hAnsi="Courier New" w:cs="Courier New" w:hint="default"/>
      </w:rPr>
    </w:lvl>
    <w:lvl w:ilvl="8" w:tplc="08090005">
      <w:start w:val="1"/>
      <w:numFmt w:val="bullet"/>
      <w:lvlText w:val=""/>
      <w:lvlJc w:val="left"/>
      <w:pPr>
        <w:ind w:left="6408" w:hanging="360"/>
      </w:pPr>
      <w:rPr>
        <w:rFonts w:ascii="Wingdings" w:hAnsi="Wingdings" w:hint="default"/>
      </w:rPr>
    </w:lvl>
  </w:abstractNum>
  <w:abstractNum w:abstractNumId="5">
    <w:nsid w:val="3C3E6805"/>
    <w:multiLevelType w:val="hybridMultilevel"/>
    <w:tmpl w:val="B84E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909A0"/>
    <w:multiLevelType w:val="hybridMultilevel"/>
    <w:tmpl w:val="3404E7DA"/>
    <w:lvl w:ilvl="0" w:tplc="35EE4216">
      <w:start w:val="1"/>
      <w:numFmt w:val="decimal"/>
      <w:lvlText w:val="%1."/>
      <w:lvlJc w:val="left"/>
      <w:pPr>
        <w:ind w:left="720" w:hanging="360"/>
      </w:pPr>
      <w:rPr>
        <w:rFonts w:cs="Garamond"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7E4B6B"/>
    <w:multiLevelType w:val="hybridMultilevel"/>
    <w:tmpl w:val="FED28628"/>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8">
    <w:nsid w:val="52486BAA"/>
    <w:multiLevelType w:val="hybridMultilevel"/>
    <w:tmpl w:val="747E9D2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81E3741"/>
    <w:multiLevelType w:val="hybridMultilevel"/>
    <w:tmpl w:val="E6B2E6CE"/>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583403F7"/>
    <w:multiLevelType w:val="hybridMultilevel"/>
    <w:tmpl w:val="86585ACC"/>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F411952"/>
    <w:multiLevelType w:val="hybridMultilevel"/>
    <w:tmpl w:val="666C9AB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802F5"/>
    <w:multiLevelType w:val="hybridMultilevel"/>
    <w:tmpl w:val="8668C332"/>
    <w:lvl w:ilvl="0" w:tplc="27D21AE8">
      <w:start w:val="1"/>
      <w:numFmt w:val="decimal"/>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3">
    <w:nsid w:val="6671527B"/>
    <w:multiLevelType w:val="hybridMultilevel"/>
    <w:tmpl w:val="B322BC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10407A5"/>
    <w:multiLevelType w:val="hybridMultilevel"/>
    <w:tmpl w:val="4D0879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54538F7"/>
    <w:multiLevelType w:val="hybridMultilevel"/>
    <w:tmpl w:val="2934F91A"/>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6">
    <w:nsid w:val="776A6563"/>
    <w:multiLevelType w:val="hybridMultilevel"/>
    <w:tmpl w:val="350C86C4"/>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99054C1"/>
    <w:multiLevelType w:val="hybridMultilevel"/>
    <w:tmpl w:val="58B8F01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D0463EE"/>
    <w:multiLevelType w:val="hybridMultilevel"/>
    <w:tmpl w:val="CF8A864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EBB232A"/>
    <w:multiLevelType w:val="hybridMultilevel"/>
    <w:tmpl w:val="77BCC7EC"/>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0"/>
  </w:num>
  <w:num w:numId="3">
    <w:abstractNumId w:val="14"/>
  </w:num>
  <w:num w:numId="4">
    <w:abstractNumId w:val="4"/>
  </w:num>
  <w:num w:numId="5">
    <w:abstractNumId w:val="5"/>
  </w:num>
  <w:num w:numId="6">
    <w:abstractNumId w:val="1"/>
  </w:num>
  <w:num w:numId="7">
    <w:abstractNumId w:val="19"/>
  </w:num>
  <w:num w:numId="8">
    <w:abstractNumId w:val="8"/>
  </w:num>
  <w:num w:numId="9">
    <w:abstractNumId w:val="13"/>
  </w:num>
  <w:num w:numId="10">
    <w:abstractNumId w:val="2"/>
  </w:num>
  <w:num w:numId="11">
    <w:abstractNumId w:val="16"/>
  </w:num>
  <w:num w:numId="12">
    <w:abstractNumId w:val="18"/>
  </w:num>
  <w:num w:numId="13">
    <w:abstractNumId w:val="10"/>
  </w:num>
  <w:num w:numId="14">
    <w:abstractNumId w:val="17"/>
  </w:num>
  <w:num w:numId="15">
    <w:abstractNumId w:val="15"/>
  </w:num>
  <w:num w:numId="16">
    <w:abstractNumId w:val="7"/>
  </w:num>
  <w:num w:numId="17">
    <w:abstractNumId w:val="9"/>
  </w:num>
  <w:num w:numId="18">
    <w:abstractNumId w:val="3"/>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1C79"/>
    <w:rsid w:val="00000365"/>
    <w:rsid w:val="00006721"/>
    <w:rsid w:val="00016534"/>
    <w:rsid w:val="00016F33"/>
    <w:rsid w:val="00022153"/>
    <w:rsid w:val="000259A6"/>
    <w:rsid w:val="00032F5E"/>
    <w:rsid w:val="00036E7E"/>
    <w:rsid w:val="000438E8"/>
    <w:rsid w:val="00043AC7"/>
    <w:rsid w:val="000445CA"/>
    <w:rsid w:val="00050E41"/>
    <w:rsid w:val="0005698E"/>
    <w:rsid w:val="000609C0"/>
    <w:rsid w:val="00062DAE"/>
    <w:rsid w:val="00072B57"/>
    <w:rsid w:val="00077526"/>
    <w:rsid w:val="000849D7"/>
    <w:rsid w:val="000861CE"/>
    <w:rsid w:val="000969DF"/>
    <w:rsid w:val="000A737D"/>
    <w:rsid w:val="000B5D24"/>
    <w:rsid w:val="000C0EFA"/>
    <w:rsid w:val="000C757D"/>
    <w:rsid w:val="000D6294"/>
    <w:rsid w:val="000D7586"/>
    <w:rsid w:val="000E0B96"/>
    <w:rsid w:val="000E72EB"/>
    <w:rsid w:val="000F1E48"/>
    <w:rsid w:val="000F3B6D"/>
    <w:rsid w:val="000F409A"/>
    <w:rsid w:val="000F6205"/>
    <w:rsid w:val="00111C8D"/>
    <w:rsid w:val="001151E7"/>
    <w:rsid w:val="00115709"/>
    <w:rsid w:val="00117908"/>
    <w:rsid w:val="0012112C"/>
    <w:rsid w:val="00124B9A"/>
    <w:rsid w:val="00126182"/>
    <w:rsid w:val="00132D84"/>
    <w:rsid w:val="001369A8"/>
    <w:rsid w:val="00142F77"/>
    <w:rsid w:val="00144D8A"/>
    <w:rsid w:val="0015101B"/>
    <w:rsid w:val="0015589F"/>
    <w:rsid w:val="001577B7"/>
    <w:rsid w:val="0016380C"/>
    <w:rsid w:val="00172D20"/>
    <w:rsid w:val="0017487D"/>
    <w:rsid w:val="00175096"/>
    <w:rsid w:val="00181817"/>
    <w:rsid w:val="00183636"/>
    <w:rsid w:val="00185C1A"/>
    <w:rsid w:val="001A022E"/>
    <w:rsid w:val="001A0B32"/>
    <w:rsid w:val="001A14E0"/>
    <w:rsid w:val="001C20F9"/>
    <w:rsid w:val="001C518E"/>
    <w:rsid w:val="001C5D54"/>
    <w:rsid w:val="001C78A4"/>
    <w:rsid w:val="001D1D89"/>
    <w:rsid w:val="001D3FE4"/>
    <w:rsid w:val="001D4F5A"/>
    <w:rsid w:val="001E055F"/>
    <w:rsid w:val="001E33FF"/>
    <w:rsid w:val="001E3746"/>
    <w:rsid w:val="001E5530"/>
    <w:rsid w:val="001F0C5C"/>
    <w:rsid w:val="001F20D1"/>
    <w:rsid w:val="001F525A"/>
    <w:rsid w:val="001F724E"/>
    <w:rsid w:val="00212A8D"/>
    <w:rsid w:val="00212F84"/>
    <w:rsid w:val="00214509"/>
    <w:rsid w:val="00215C7F"/>
    <w:rsid w:val="0021691F"/>
    <w:rsid w:val="00217F30"/>
    <w:rsid w:val="00220965"/>
    <w:rsid w:val="00223AA3"/>
    <w:rsid w:val="00223C12"/>
    <w:rsid w:val="002256DF"/>
    <w:rsid w:val="00227CEE"/>
    <w:rsid w:val="002301C4"/>
    <w:rsid w:val="0023268C"/>
    <w:rsid w:val="0024066F"/>
    <w:rsid w:val="00243810"/>
    <w:rsid w:val="00243846"/>
    <w:rsid w:val="002447C4"/>
    <w:rsid w:val="0024547D"/>
    <w:rsid w:val="002478D4"/>
    <w:rsid w:val="00253DB6"/>
    <w:rsid w:val="0025486E"/>
    <w:rsid w:val="0026065A"/>
    <w:rsid w:val="00265905"/>
    <w:rsid w:val="00273F37"/>
    <w:rsid w:val="002762A6"/>
    <w:rsid w:val="002766CC"/>
    <w:rsid w:val="002777A1"/>
    <w:rsid w:val="00280834"/>
    <w:rsid w:val="0028508E"/>
    <w:rsid w:val="00287CBC"/>
    <w:rsid w:val="002929F4"/>
    <w:rsid w:val="00297074"/>
    <w:rsid w:val="00297AED"/>
    <w:rsid w:val="002B3714"/>
    <w:rsid w:val="002B3E6E"/>
    <w:rsid w:val="002B6731"/>
    <w:rsid w:val="002B7F23"/>
    <w:rsid w:val="002C053E"/>
    <w:rsid w:val="002C0E93"/>
    <w:rsid w:val="002D5B9A"/>
    <w:rsid w:val="002E0438"/>
    <w:rsid w:val="002E6AFB"/>
    <w:rsid w:val="002F3D84"/>
    <w:rsid w:val="002F74E8"/>
    <w:rsid w:val="003038B9"/>
    <w:rsid w:val="00304721"/>
    <w:rsid w:val="0030641C"/>
    <w:rsid w:val="0031447A"/>
    <w:rsid w:val="0032041F"/>
    <w:rsid w:val="00327FD1"/>
    <w:rsid w:val="00332ADA"/>
    <w:rsid w:val="003333ED"/>
    <w:rsid w:val="00333A3D"/>
    <w:rsid w:val="003375E2"/>
    <w:rsid w:val="00341B49"/>
    <w:rsid w:val="00341EF3"/>
    <w:rsid w:val="00350E91"/>
    <w:rsid w:val="003512C6"/>
    <w:rsid w:val="003607FA"/>
    <w:rsid w:val="00361D13"/>
    <w:rsid w:val="00361E6E"/>
    <w:rsid w:val="00370922"/>
    <w:rsid w:val="00370EFA"/>
    <w:rsid w:val="003721DD"/>
    <w:rsid w:val="003724BC"/>
    <w:rsid w:val="003811B9"/>
    <w:rsid w:val="00384920"/>
    <w:rsid w:val="00393520"/>
    <w:rsid w:val="00393BCF"/>
    <w:rsid w:val="00393F69"/>
    <w:rsid w:val="00394725"/>
    <w:rsid w:val="003A2DCA"/>
    <w:rsid w:val="003A588C"/>
    <w:rsid w:val="003C198B"/>
    <w:rsid w:val="003C7E89"/>
    <w:rsid w:val="003D180E"/>
    <w:rsid w:val="003D3605"/>
    <w:rsid w:val="003D6453"/>
    <w:rsid w:val="003F294F"/>
    <w:rsid w:val="003F3243"/>
    <w:rsid w:val="00412CDF"/>
    <w:rsid w:val="004203DC"/>
    <w:rsid w:val="00422576"/>
    <w:rsid w:val="0042564F"/>
    <w:rsid w:val="004274B2"/>
    <w:rsid w:val="00432E94"/>
    <w:rsid w:val="00434331"/>
    <w:rsid w:val="00436E4A"/>
    <w:rsid w:val="004372B4"/>
    <w:rsid w:val="00441566"/>
    <w:rsid w:val="004427A8"/>
    <w:rsid w:val="00442C3C"/>
    <w:rsid w:val="004438C7"/>
    <w:rsid w:val="004458AF"/>
    <w:rsid w:val="00450D9C"/>
    <w:rsid w:val="00451F65"/>
    <w:rsid w:val="00456566"/>
    <w:rsid w:val="00461FE0"/>
    <w:rsid w:val="004635CE"/>
    <w:rsid w:val="00466AB4"/>
    <w:rsid w:val="00470B49"/>
    <w:rsid w:val="004735FD"/>
    <w:rsid w:val="00486E63"/>
    <w:rsid w:val="00487F2C"/>
    <w:rsid w:val="004911CB"/>
    <w:rsid w:val="004912C2"/>
    <w:rsid w:val="00494E02"/>
    <w:rsid w:val="00496002"/>
    <w:rsid w:val="004A1366"/>
    <w:rsid w:val="004A26A3"/>
    <w:rsid w:val="004A6059"/>
    <w:rsid w:val="004C1CD8"/>
    <w:rsid w:val="004C3CDD"/>
    <w:rsid w:val="004C5299"/>
    <w:rsid w:val="004D7BBC"/>
    <w:rsid w:val="004E39B1"/>
    <w:rsid w:val="004E5657"/>
    <w:rsid w:val="004E5CE2"/>
    <w:rsid w:val="004F066E"/>
    <w:rsid w:val="004F0BBE"/>
    <w:rsid w:val="004F0E7F"/>
    <w:rsid w:val="004F1780"/>
    <w:rsid w:val="00500CC3"/>
    <w:rsid w:val="00502CE0"/>
    <w:rsid w:val="00513C74"/>
    <w:rsid w:val="00514216"/>
    <w:rsid w:val="0051781B"/>
    <w:rsid w:val="0052196A"/>
    <w:rsid w:val="00534D46"/>
    <w:rsid w:val="005422C2"/>
    <w:rsid w:val="00550F30"/>
    <w:rsid w:val="0055465E"/>
    <w:rsid w:val="0055677E"/>
    <w:rsid w:val="005575EC"/>
    <w:rsid w:val="00562B7F"/>
    <w:rsid w:val="00564EE2"/>
    <w:rsid w:val="00572BD9"/>
    <w:rsid w:val="00573F24"/>
    <w:rsid w:val="005800F2"/>
    <w:rsid w:val="00582A71"/>
    <w:rsid w:val="005879FF"/>
    <w:rsid w:val="0059689C"/>
    <w:rsid w:val="005A0300"/>
    <w:rsid w:val="005A59D4"/>
    <w:rsid w:val="005A7F1A"/>
    <w:rsid w:val="005C2257"/>
    <w:rsid w:val="005C6552"/>
    <w:rsid w:val="005E08C8"/>
    <w:rsid w:val="005E1203"/>
    <w:rsid w:val="005E2670"/>
    <w:rsid w:val="005E3583"/>
    <w:rsid w:val="005E50BA"/>
    <w:rsid w:val="005E791F"/>
    <w:rsid w:val="005E7D27"/>
    <w:rsid w:val="005F1344"/>
    <w:rsid w:val="0060664F"/>
    <w:rsid w:val="00607174"/>
    <w:rsid w:val="00610A9B"/>
    <w:rsid w:val="00612114"/>
    <w:rsid w:val="00613953"/>
    <w:rsid w:val="00623518"/>
    <w:rsid w:val="006352AD"/>
    <w:rsid w:val="006666FA"/>
    <w:rsid w:val="00666F92"/>
    <w:rsid w:val="00667220"/>
    <w:rsid w:val="00672599"/>
    <w:rsid w:val="00675D2C"/>
    <w:rsid w:val="00675D8E"/>
    <w:rsid w:val="006766A8"/>
    <w:rsid w:val="006904D6"/>
    <w:rsid w:val="0069296A"/>
    <w:rsid w:val="00697EB2"/>
    <w:rsid w:val="006A40A1"/>
    <w:rsid w:val="006A59FB"/>
    <w:rsid w:val="006B00D6"/>
    <w:rsid w:val="006B46A7"/>
    <w:rsid w:val="006B5531"/>
    <w:rsid w:val="006B62C3"/>
    <w:rsid w:val="006C09CA"/>
    <w:rsid w:val="006C23FB"/>
    <w:rsid w:val="006C4413"/>
    <w:rsid w:val="006C65FD"/>
    <w:rsid w:val="006D1A97"/>
    <w:rsid w:val="006E0045"/>
    <w:rsid w:val="006E7AEA"/>
    <w:rsid w:val="006F06CD"/>
    <w:rsid w:val="006F59C2"/>
    <w:rsid w:val="006F5A59"/>
    <w:rsid w:val="006F6791"/>
    <w:rsid w:val="00705E7A"/>
    <w:rsid w:val="0070763D"/>
    <w:rsid w:val="00710F97"/>
    <w:rsid w:val="00714888"/>
    <w:rsid w:val="007179A1"/>
    <w:rsid w:val="00720FEB"/>
    <w:rsid w:val="007227E6"/>
    <w:rsid w:val="0072394E"/>
    <w:rsid w:val="007275C8"/>
    <w:rsid w:val="00727D89"/>
    <w:rsid w:val="00730BCB"/>
    <w:rsid w:val="00732E78"/>
    <w:rsid w:val="0073397C"/>
    <w:rsid w:val="007358A6"/>
    <w:rsid w:val="007402F4"/>
    <w:rsid w:val="00742289"/>
    <w:rsid w:val="00745DD6"/>
    <w:rsid w:val="0074725B"/>
    <w:rsid w:val="007546F5"/>
    <w:rsid w:val="007549CB"/>
    <w:rsid w:val="00765321"/>
    <w:rsid w:val="007737EE"/>
    <w:rsid w:val="0077505F"/>
    <w:rsid w:val="00781EBD"/>
    <w:rsid w:val="007945FF"/>
    <w:rsid w:val="00794EA8"/>
    <w:rsid w:val="007A4BE7"/>
    <w:rsid w:val="007A74BE"/>
    <w:rsid w:val="007A75DA"/>
    <w:rsid w:val="007A7789"/>
    <w:rsid w:val="007B3507"/>
    <w:rsid w:val="007B6B19"/>
    <w:rsid w:val="007C0530"/>
    <w:rsid w:val="007C15C1"/>
    <w:rsid w:val="007C37C9"/>
    <w:rsid w:val="007E02B9"/>
    <w:rsid w:val="007E76FD"/>
    <w:rsid w:val="007F6BA8"/>
    <w:rsid w:val="008068D4"/>
    <w:rsid w:val="00807D14"/>
    <w:rsid w:val="008111D1"/>
    <w:rsid w:val="008136EF"/>
    <w:rsid w:val="0081509E"/>
    <w:rsid w:val="00820441"/>
    <w:rsid w:val="00822680"/>
    <w:rsid w:val="00823D2F"/>
    <w:rsid w:val="00823EF5"/>
    <w:rsid w:val="00833535"/>
    <w:rsid w:val="008348F5"/>
    <w:rsid w:val="008349D7"/>
    <w:rsid w:val="008376E0"/>
    <w:rsid w:val="008406BE"/>
    <w:rsid w:val="00841EDF"/>
    <w:rsid w:val="00842074"/>
    <w:rsid w:val="00843D0D"/>
    <w:rsid w:val="00854C76"/>
    <w:rsid w:val="00861AFE"/>
    <w:rsid w:val="008624F2"/>
    <w:rsid w:val="00866EA4"/>
    <w:rsid w:val="0087024D"/>
    <w:rsid w:val="00872791"/>
    <w:rsid w:val="00872C5E"/>
    <w:rsid w:val="008807D8"/>
    <w:rsid w:val="00881600"/>
    <w:rsid w:val="00882B9B"/>
    <w:rsid w:val="008858EF"/>
    <w:rsid w:val="0088593C"/>
    <w:rsid w:val="00887C39"/>
    <w:rsid w:val="008975F4"/>
    <w:rsid w:val="008A31F8"/>
    <w:rsid w:val="008A34FA"/>
    <w:rsid w:val="008A389D"/>
    <w:rsid w:val="008A4F68"/>
    <w:rsid w:val="008B4E41"/>
    <w:rsid w:val="008B7612"/>
    <w:rsid w:val="008C154E"/>
    <w:rsid w:val="008C1FC1"/>
    <w:rsid w:val="008C6A64"/>
    <w:rsid w:val="008D0891"/>
    <w:rsid w:val="008D1EAE"/>
    <w:rsid w:val="008D6866"/>
    <w:rsid w:val="008D7B0A"/>
    <w:rsid w:val="008E56B5"/>
    <w:rsid w:val="008F2956"/>
    <w:rsid w:val="008F393D"/>
    <w:rsid w:val="00902EC5"/>
    <w:rsid w:val="009121D0"/>
    <w:rsid w:val="00917581"/>
    <w:rsid w:val="0092312B"/>
    <w:rsid w:val="00924649"/>
    <w:rsid w:val="00931F6D"/>
    <w:rsid w:val="009400EC"/>
    <w:rsid w:val="009436A9"/>
    <w:rsid w:val="00947C53"/>
    <w:rsid w:val="00960C67"/>
    <w:rsid w:val="00964555"/>
    <w:rsid w:val="009668D9"/>
    <w:rsid w:val="00971E3F"/>
    <w:rsid w:val="00977151"/>
    <w:rsid w:val="00977DFE"/>
    <w:rsid w:val="00981AA0"/>
    <w:rsid w:val="009824C6"/>
    <w:rsid w:val="00990398"/>
    <w:rsid w:val="00992B3E"/>
    <w:rsid w:val="009A050A"/>
    <w:rsid w:val="009A1D3B"/>
    <w:rsid w:val="009A5292"/>
    <w:rsid w:val="009B0B6B"/>
    <w:rsid w:val="009B16BD"/>
    <w:rsid w:val="009B2C05"/>
    <w:rsid w:val="009B3CF5"/>
    <w:rsid w:val="009B4C56"/>
    <w:rsid w:val="009C23F0"/>
    <w:rsid w:val="009C2C54"/>
    <w:rsid w:val="009C6874"/>
    <w:rsid w:val="009D3EDC"/>
    <w:rsid w:val="009D51B3"/>
    <w:rsid w:val="009D6AF5"/>
    <w:rsid w:val="009F2C49"/>
    <w:rsid w:val="009F4535"/>
    <w:rsid w:val="00A0254C"/>
    <w:rsid w:val="00A02715"/>
    <w:rsid w:val="00A0275E"/>
    <w:rsid w:val="00A2383C"/>
    <w:rsid w:val="00A241F3"/>
    <w:rsid w:val="00A263FD"/>
    <w:rsid w:val="00A26592"/>
    <w:rsid w:val="00A36745"/>
    <w:rsid w:val="00A41014"/>
    <w:rsid w:val="00A450C0"/>
    <w:rsid w:val="00A527C1"/>
    <w:rsid w:val="00A53958"/>
    <w:rsid w:val="00A54DD4"/>
    <w:rsid w:val="00A6581B"/>
    <w:rsid w:val="00A65E14"/>
    <w:rsid w:val="00A70909"/>
    <w:rsid w:val="00A80A85"/>
    <w:rsid w:val="00A816E8"/>
    <w:rsid w:val="00A83D59"/>
    <w:rsid w:val="00A84003"/>
    <w:rsid w:val="00A860C7"/>
    <w:rsid w:val="00A95A36"/>
    <w:rsid w:val="00A96B43"/>
    <w:rsid w:val="00AA0EC4"/>
    <w:rsid w:val="00AA12D7"/>
    <w:rsid w:val="00AB100A"/>
    <w:rsid w:val="00AB6329"/>
    <w:rsid w:val="00AC5019"/>
    <w:rsid w:val="00AC628E"/>
    <w:rsid w:val="00AD09A2"/>
    <w:rsid w:val="00AD592B"/>
    <w:rsid w:val="00AE057D"/>
    <w:rsid w:val="00AE3A58"/>
    <w:rsid w:val="00AE6720"/>
    <w:rsid w:val="00AE782A"/>
    <w:rsid w:val="00AF353F"/>
    <w:rsid w:val="00AF6FCE"/>
    <w:rsid w:val="00B068B7"/>
    <w:rsid w:val="00B07526"/>
    <w:rsid w:val="00B145A1"/>
    <w:rsid w:val="00B325C8"/>
    <w:rsid w:val="00B42ED7"/>
    <w:rsid w:val="00B43125"/>
    <w:rsid w:val="00B5325C"/>
    <w:rsid w:val="00B53E8F"/>
    <w:rsid w:val="00B575D8"/>
    <w:rsid w:val="00B623D8"/>
    <w:rsid w:val="00B6550F"/>
    <w:rsid w:val="00B66FA0"/>
    <w:rsid w:val="00B70DCA"/>
    <w:rsid w:val="00B711CD"/>
    <w:rsid w:val="00B76F52"/>
    <w:rsid w:val="00B81450"/>
    <w:rsid w:val="00B82224"/>
    <w:rsid w:val="00B837D3"/>
    <w:rsid w:val="00B87941"/>
    <w:rsid w:val="00B9223E"/>
    <w:rsid w:val="00B95034"/>
    <w:rsid w:val="00BA0438"/>
    <w:rsid w:val="00BA4258"/>
    <w:rsid w:val="00BA492F"/>
    <w:rsid w:val="00BA4DAB"/>
    <w:rsid w:val="00BB05BD"/>
    <w:rsid w:val="00BB199C"/>
    <w:rsid w:val="00BB3B69"/>
    <w:rsid w:val="00BC4212"/>
    <w:rsid w:val="00BC6E33"/>
    <w:rsid w:val="00BD1C1D"/>
    <w:rsid w:val="00BD2935"/>
    <w:rsid w:val="00BE66E9"/>
    <w:rsid w:val="00BF3650"/>
    <w:rsid w:val="00BF4493"/>
    <w:rsid w:val="00BF7123"/>
    <w:rsid w:val="00BF7878"/>
    <w:rsid w:val="00C02A74"/>
    <w:rsid w:val="00C03685"/>
    <w:rsid w:val="00C03994"/>
    <w:rsid w:val="00C13B4B"/>
    <w:rsid w:val="00C17DFD"/>
    <w:rsid w:val="00C22D59"/>
    <w:rsid w:val="00C24B51"/>
    <w:rsid w:val="00C24C40"/>
    <w:rsid w:val="00C341A9"/>
    <w:rsid w:val="00C353D5"/>
    <w:rsid w:val="00C360C3"/>
    <w:rsid w:val="00C40B3F"/>
    <w:rsid w:val="00C42EC3"/>
    <w:rsid w:val="00C453E7"/>
    <w:rsid w:val="00C52E69"/>
    <w:rsid w:val="00C57898"/>
    <w:rsid w:val="00C60F40"/>
    <w:rsid w:val="00C61C9A"/>
    <w:rsid w:val="00C623C2"/>
    <w:rsid w:val="00C64AD5"/>
    <w:rsid w:val="00C65C99"/>
    <w:rsid w:val="00C663E4"/>
    <w:rsid w:val="00C67D92"/>
    <w:rsid w:val="00C72194"/>
    <w:rsid w:val="00C731B1"/>
    <w:rsid w:val="00C7648D"/>
    <w:rsid w:val="00C86F7C"/>
    <w:rsid w:val="00C87745"/>
    <w:rsid w:val="00C94014"/>
    <w:rsid w:val="00C963D0"/>
    <w:rsid w:val="00CA072D"/>
    <w:rsid w:val="00CA1535"/>
    <w:rsid w:val="00CB3A77"/>
    <w:rsid w:val="00CC0049"/>
    <w:rsid w:val="00CC7043"/>
    <w:rsid w:val="00CD115D"/>
    <w:rsid w:val="00CD69C2"/>
    <w:rsid w:val="00CE0D4F"/>
    <w:rsid w:val="00CE2079"/>
    <w:rsid w:val="00CE2CD3"/>
    <w:rsid w:val="00CE5F9B"/>
    <w:rsid w:val="00CF04AB"/>
    <w:rsid w:val="00CF4D3E"/>
    <w:rsid w:val="00D06C6D"/>
    <w:rsid w:val="00D1030B"/>
    <w:rsid w:val="00D11357"/>
    <w:rsid w:val="00D13EDB"/>
    <w:rsid w:val="00D15D80"/>
    <w:rsid w:val="00D16F8E"/>
    <w:rsid w:val="00D2304A"/>
    <w:rsid w:val="00D250D3"/>
    <w:rsid w:val="00D33866"/>
    <w:rsid w:val="00D34A81"/>
    <w:rsid w:val="00D36B55"/>
    <w:rsid w:val="00D40EF4"/>
    <w:rsid w:val="00D42F91"/>
    <w:rsid w:val="00D463D1"/>
    <w:rsid w:val="00D4648E"/>
    <w:rsid w:val="00D50102"/>
    <w:rsid w:val="00D577D9"/>
    <w:rsid w:val="00D72B37"/>
    <w:rsid w:val="00D7584E"/>
    <w:rsid w:val="00D8405F"/>
    <w:rsid w:val="00D8452D"/>
    <w:rsid w:val="00D859F5"/>
    <w:rsid w:val="00D90124"/>
    <w:rsid w:val="00D9034E"/>
    <w:rsid w:val="00D91A8A"/>
    <w:rsid w:val="00D9258A"/>
    <w:rsid w:val="00D93CDD"/>
    <w:rsid w:val="00D9666D"/>
    <w:rsid w:val="00D971BA"/>
    <w:rsid w:val="00DA5C68"/>
    <w:rsid w:val="00DB0B82"/>
    <w:rsid w:val="00DB341D"/>
    <w:rsid w:val="00DB4319"/>
    <w:rsid w:val="00DC4047"/>
    <w:rsid w:val="00DD0615"/>
    <w:rsid w:val="00DD0B2A"/>
    <w:rsid w:val="00DD7B76"/>
    <w:rsid w:val="00DD7D05"/>
    <w:rsid w:val="00DE1791"/>
    <w:rsid w:val="00DE1944"/>
    <w:rsid w:val="00DE1AA0"/>
    <w:rsid w:val="00DE5454"/>
    <w:rsid w:val="00DF0743"/>
    <w:rsid w:val="00DF6004"/>
    <w:rsid w:val="00E01C79"/>
    <w:rsid w:val="00E141BF"/>
    <w:rsid w:val="00E14DF5"/>
    <w:rsid w:val="00E22C45"/>
    <w:rsid w:val="00E30A30"/>
    <w:rsid w:val="00E33883"/>
    <w:rsid w:val="00E566DB"/>
    <w:rsid w:val="00E63027"/>
    <w:rsid w:val="00E65FC0"/>
    <w:rsid w:val="00E72011"/>
    <w:rsid w:val="00E742D3"/>
    <w:rsid w:val="00E87EDA"/>
    <w:rsid w:val="00E948EC"/>
    <w:rsid w:val="00E9585B"/>
    <w:rsid w:val="00E9767B"/>
    <w:rsid w:val="00E97872"/>
    <w:rsid w:val="00EA059A"/>
    <w:rsid w:val="00EA446E"/>
    <w:rsid w:val="00EA4A84"/>
    <w:rsid w:val="00EA5480"/>
    <w:rsid w:val="00EA6BA7"/>
    <w:rsid w:val="00EB6512"/>
    <w:rsid w:val="00EB7D55"/>
    <w:rsid w:val="00EC0BE5"/>
    <w:rsid w:val="00EC31DB"/>
    <w:rsid w:val="00ED34A3"/>
    <w:rsid w:val="00ED388F"/>
    <w:rsid w:val="00ED410D"/>
    <w:rsid w:val="00ED43A5"/>
    <w:rsid w:val="00EE30CB"/>
    <w:rsid w:val="00EE7384"/>
    <w:rsid w:val="00EF4094"/>
    <w:rsid w:val="00EF7A73"/>
    <w:rsid w:val="00EF7D69"/>
    <w:rsid w:val="00F10767"/>
    <w:rsid w:val="00F10C7F"/>
    <w:rsid w:val="00F12A8A"/>
    <w:rsid w:val="00F156CB"/>
    <w:rsid w:val="00F17E11"/>
    <w:rsid w:val="00F20A76"/>
    <w:rsid w:val="00F244E1"/>
    <w:rsid w:val="00F248E1"/>
    <w:rsid w:val="00F31628"/>
    <w:rsid w:val="00F3442C"/>
    <w:rsid w:val="00F35351"/>
    <w:rsid w:val="00F3554F"/>
    <w:rsid w:val="00F44F5C"/>
    <w:rsid w:val="00F46D5C"/>
    <w:rsid w:val="00F511A1"/>
    <w:rsid w:val="00F51335"/>
    <w:rsid w:val="00F54213"/>
    <w:rsid w:val="00F548EA"/>
    <w:rsid w:val="00F5576F"/>
    <w:rsid w:val="00F57B8A"/>
    <w:rsid w:val="00F6672B"/>
    <w:rsid w:val="00F66F29"/>
    <w:rsid w:val="00F70396"/>
    <w:rsid w:val="00F724D5"/>
    <w:rsid w:val="00F77EA7"/>
    <w:rsid w:val="00F81904"/>
    <w:rsid w:val="00FC2140"/>
    <w:rsid w:val="00FC6242"/>
    <w:rsid w:val="00FD19D8"/>
    <w:rsid w:val="00FE148A"/>
    <w:rsid w:val="00FE472C"/>
    <w:rsid w:val="00FE516B"/>
    <w:rsid w:val="00FF0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79"/>
    <w:rPr>
      <w:rFonts w:ascii="Tahoma" w:hAnsi="Tahoma" w:cs="Tahoma"/>
      <w:sz w:val="16"/>
      <w:szCs w:val="16"/>
    </w:rPr>
  </w:style>
  <w:style w:type="paragraph" w:styleId="Header">
    <w:name w:val="header"/>
    <w:basedOn w:val="Normal"/>
    <w:link w:val="HeaderChar"/>
    <w:unhideWhenUsed/>
    <w:rsid w:val="00E01C79"/>
    <w:pPr>
      <w:tabs>
        <w:tab w:val="center" w:pos="4677"/>
        <w:tab w:val="right" w:pos="9355"/>
      </w:tabs>
      <w:spacing w:after="0" w:line="240" w:lineRule="auto"/>
    </w:pPr>
  </w:style>
  <w:style w:type="character" w:customStyle="1" w:styleId="HeaderChar">
    <w:name w:val="Header Char"/>
    <w:basedOn w:val="DefaultParagraphFont"/>
    <w:link w:val="Header"/>
    <w:rsid w:val="00E01C79"/>
  </w:style>
  <w:style w:type="paragraph" w:styleId="Footer">
    <w:name w:val="footer"/>
    <w:basedOn w:val="Normal"/>
    <w:link w:val="FooterChar"/>
    <w:uiPriority w:val="99"/>
    <w:unhideWhenUsed/>
    <w:rsid w:val="00E01C79"/>
    <w:pPr>
      <w:tabs>
        <w:tab w:val="center" w:pos="4677"/>
        <w:tab w:val="right" w:pos="9355"/>
      </w:tabs>
      <w:spacing w:after="0" w:line="240" w:lineRule="auto"/>
    </w:pPr>
  </w:style>
  <w:style w:type="character" w:customStyle="1" w:styleId="FooterChar">
    <w:name w:val="Footer Char"/>
    <w:basedOn w:val="DefaultParagraphFont"/>
    <w:link w:val="Footer"/>
    <w:uiPriority w:val="99"/>
    <w:rsid w:val="00E01C79"/>
  </w:style>
  <w:style w:type="character" w:customStyle="1" w:styleId="apple-style-span">
    <w:name w:val="apple-style-span"/>
    <w:basedOn w:val="DefaultParagraphFont"/>
    <w:rsid w:val="004D7BBC"/>
  </w:style>
  <w:style w:type="paragraph" w:styleId="ListParagraph">
    <w:name w:val="List Paragraph"/>
    <w:basedOn w:val="Normal"/>
    <w:uiPriority w:val="34"/>
    <w:qFormat/>
    <w:rsid w:val="00341B49"/>
    <w:pPr>
      <w:ind w:left="720"/>
      <w:contextualSpacing/>
    </w:pPr>
  </w:style>
  <w:style w:type="character" w:styleId="Hyperlink">
    <w:name w:val="Hyperlink"/>
    <w:basedOn w:val="DefaultParagraphFont"/>
    <w:uiPriority w:val="99"/>
    <w:unhideWhenUsed/>
    <w:rsid w:val="00FE148A"/>
    <w:rPr>
      <w:color w:val="0000FF" w:themeColor="hyperlink"/>
      <w:u w:val="single"/>
    </w:rPr>
  </w:style>
  <w:style w:type="character" w:customStyle="1" w:styleId="hps">
    <w:name w:val="hps"/>
    <w:basedOn w:val="DefaultParagraphFont"/>
    <w:rsid w:val="00854C76"/>
  </w:style>
  <w:style w:type="character" w:customStyle="1" w:styleId="FootnoteCharacters">
    <w:name w:val="Footnote Characters"/>
    <w:rsid w:val="00854C76"/>
    <w:rPr>
      <w:vertAlign w:val="superscript"/>
    </w:rPr>
  </w:style>
  <w:style w:type="character" w:customStyle="1" w:styleId="usercontent">
    <w:name w:val="usercontent"/>
    <w:rsid w:val="00854C76"/>
  </w:style>
  <w:style w:type="paragraph" w:styleId="NormalWeb">
    <w:name w:val="Normal (Web)"/>
    <w:basedOn w:val="Normal"/>
    <w:uiPriority w:val="99"/>
    <w:semiHidden/>
    <w:unhideWhenUsed/>
    <w:rsid w:val="006B5531"/>
    <w:pPr>
      <w:spacing w:after="0" w:line="240" w:lineRule="auto"/>
      <w:ind w:firstLine="567"/>
      <w:jc w:val="both"/>
    </w:pPr>
    <w:rPr>
      <w:rFonts w:ascii="Times New Roman" w:eastAsia="Times New Roman" w:hAnsi="Times New Roman" w:cs="Times New Roman"/>
      <w:sz w:val="24"/>
      <w:szCs w:val="24"/>
      <w:lang w:eastAsia="ja-JP"/>
    </w:rPr>
  </w:style>
  <w:style w:type="table" w:styleId="TableGrid">
    <w:name w:val="Table Grid"/>
    <w:basedOn w:val="TableNormal"/>
    <w:uiPriority w:val="59"/>
    <w:rsid w:val="00960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23D8"/>
    <w:rPr>
      <w:sz w:val="16"/>
      <w:szCs w:val="16"/>
    </w:rPr>
  </w:style>
  <w:style w:type="paragraph" w:styleId="CommentText">
    <w:name w:val="annotation text"/>
    <w:basedOn w:val="Normal"/>
    <w:link w:val="CommentTextChar"/>
    <w:uiPriority w:val="99"/>
    <w:semiHidden/>
    <w:unhideWhenUsed/>
    <w:rsid w:val="00B623D8"/>
    <w:pPr>
      <w:spacing w:line="240" w:lineRule="auto"/>
    </w:pPr>
    <w:rPr>
      <w:sz w:val="20"/>
      <w:szCs w:val="20"/>
    </w:rPr>
  </w:style>
  <w:style w:type="character" w:customStyle="1" w:styleId="CommentTextChar">
    <w:name w:val="Comment Text Char"/>
    <w:basedOn w:val="DefaultParagraphFont"/>
    <w:link w:val="CommentText"/>
    <w:uiPriority w:val="99"/>
    <w:semiHidden/>
    <w:rsid w:val="00B623D8"/>
    <w:rPr>
      <w:sz w:val="20"/>
      <w:szCs w:val="20"/>
    </w:rPr>
  </w:style>
  <w:style w:type="paragraph" w:styleId="CommentSubject">
    <w:name w:val="annotation subject"/>
    <w:basedOn w:val="CommentText"/>
    <w:next w:val="CommentText"/>
    <w:link w:val="CommentSubjectChar"/>
    <w:uiPriority w:val="99"/>
    <w:semiHidden/>
    <w:unhideWhenUsed/>
    <w:rsid w:val="00B623D8"/>
    <w:rPr>
      <w:b/>
      <w:bCs/>
    </w:rPr>
  </w:style>
  <w:style w:type="character" w:customStyle="1" w:styleId="CommentSubjectChar">
    <w:name w:val="Comment Subject Char"/>
    <w:basedOn w:val="CommentTextChar"/>
    <w:link w:val="CommentSubject"/>
    <w:uiPriority w:val="99"/>
    <w:semiHidden/>
    <w:rsid w:val="00B623D8"/>
    <w:rPr>
      <w:b/>
      <w:bCs/>
    </w:rPr>
  </w:style>
  <w:style w:type="paragraph" w:styleId="FootnoteText">
    <w:name w:val="footnote text"/>
    <w:basedOn w:val="Normal"/>
    <w:link w:val="FootnoteTextChar"/>
    <w:uiPriority w:val="99"/>
    <w:semiHidden/>
    <w:unhideWhenUsed/>
    <w:rsid w:val="00FF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6C8"/>
    <w:rPr>
      <w:sz w:val="20"/>
      <w:szCs w:val="20"/>
    </w:rPr>
  </w:style>
  <w:style w:type="character" w:styleId="FootnoteReference">
    <w:name w:val="footnote reference"/>
    <w:basedOn w:val="DefaultParagraphFont"/>
    <w:uiPriority w:val="99"/>
    <w:semiHidden/>
    <w:unhideWhenUsed/>
    <w:rsid w:val="00FF06C8"/>
    <w:rPr>
      <w:vertAlign w:val="superscript"/>
    </w:rPr>
  </w:style>
  <w:style w:type="paragraph" w:customStyle="1" w:styleId="Default">
    <w:name w:val="Default"/>
    <w:rsid w:val="007402F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D34A3"/>
    <w:rPr>
      <w:color w:val="800080" w:themeColor="followedHyperlink"/>
      <w:u w:val="single"/>
    </w:rPr>
  </w:style>
  <w:style w:type="character" w:customStyle="1" w:styleId="newscontent">
    <w:name w:val="newscontent"/>
    <w:basedOn w:val="DefaultParagraphFont"/>
    <w:rsid w:val="002D5B9A"/>
  </w:style>
  <w:style w:type="character" w:customStyle="1" w:styleId="shorttext">
    <w:name w:val="short_text"/>
    <w:basedOn w:val="DefaultParagraphFont"/>
    <w:rsid w:val="008C6A64"/>
  </w:style>
</w:styles>
</file>

<file path=word/webSettings.xml><?xml version="1.0" encoding="utf-8"?>
<w:webSettings xmlns:r="http://schemas.openxmlformats.org/officeDocument/2006/relationships" xmlns:w="http://schemas.openxmlformats.org/wordprocessingml/2006/main">
  <w:divs>
    <w:div w:id="321272539">
      <w:bodyDiv w:val="1"/>
      <w:marLeft w:val="0"/>
      <w:marRight w:val="0"/>
      <w:marTop w:val="0"/>
      <w:marBottom w:val="0"/>
      <w:divBdr>
        <w:top w:val="none" w:sz="0" w:space="0" w:color="auto"/>
        <w:left w:val="none" w:sz="0" w:space="0" w:color="auto"/>
        <w:bottom w:val="none" w:sz="0" w:space="0" w:color="auto"/>
        <w:right w:val="none" w:sz="0" w:space="0" w:color="auto"/>
      </w:divBdr>
      <w:divsChild>
        <w:div w:id="445349670">
          <w:marLeft w:val="0"/>
          <w:marRight w:val="0"/>
          <w:marTop w:val="0"/>
          <w:marBottom w:val="0"/>
          <w:divBdr>
            <w:top w:val="none" w:sz="0" w:space="0" w:color="auto"/>
            <w:left w:val="none" w:sz="0" w:space="0" w:color="auto"/>
            <w:bottom w:val="none" w:sz="0" w:space="0" w:color="auto"/>
            <w:right w:val="none" w:sz="0" w:space="0" w:color="auto"/>
          </w:divBdr>
        </w:div>
      </w:divsChild>
    </w:div>
    <w:div w:id="1597326166">
      <w:bodyDiv w:val="1"/>
      <w:marLeft w:val="0"/>
      <w:marRight w:val="0"/>
      <w:marTop w:val="0"/>
      <w:marBottom w:val="0"/>
      <w:divBdr>
        <w:top w:val="none" w:sz="0" w:space="0" w:color="auto"/>
        <w:left w:val="none" w:sz="0" w:space="0" w:color="auto"/>
        <w:bottom w:val="none" w:sz="0" w:space="0" w:color="auto"/>
        <w:right w:val="none" w:sz="0" w:space="0" w:color="auto"/>
      </w:divBdr>
    </w:div>
    <w:div w:id="1941328703">
      <w:bodyDiv w:val="1"/>
      <w:marLeft w:val="0"/>
      <w:marRight w:val="0"/>
      <w:marTop w:val="0"/>
      <w:marBottom w:val="0"/>
      <w:divBdr>
        <w:top w:val="none" w:sz="0" w:space="0" w:color="auto"/>
        <w:left w:val="none" w:sz="0" w:space="0" w:color="auto"/>
        <w:bottom w:val="none" w:sz="0" w:space="0" w:color="auto"/>
        <w:right w:val="none" w:sz="0" w:space="0" w:color="auto"/>
      </w:divBdr>
    </w:div>
    <w:div w:id="21135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jm.org/app/webroot/uploaded/2013%2001%2010%20opinie.reg.eval.judec.pdf" TargetMode="External"/><Relationship Id="rId18" Type="http://schemas.openxmlformats.org/officeDocument/2006/relationships/hyperlink" Target="http://crjm.org/app/webroot/uploaded/raport.activ.ctedo.2012.20.02.2013-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jm.org/app/webroot/uploaded/Transparency%20and%20efficiency%20of%20SCM.pdf" TargetMode="External"/><Relationship Id="rId17" Type="http://schemas.openxmlformats.org/officeDocument/2006/relationships/hyperlink" Target="http://crjm.org/app/webroot/uploaded/Studiu%20dr%20comp%20EU%20investig%20penala%20judec_29.04.2013.pdf" TargetMode="External"/><Relationship Id="rId2" Type="http://schemas.openxmlformats.org/officeDocument/2006/relationships/numbering" Target="numbering.xml"/><Relationship Id="rId16" Type="http://schemas.openxmlformats.org/officeDocument/2006/relationships/hyperlink" Target="http://crjm.org/app/webroot/uploaded/2013%2012%2011%20LRCM%20policy%20paper%20investigating%20judges.pdf" TargetMode="External"/><Relationship Id="rId20" Type="http://schemas.openxmlformats.org/officeDocument/2006/relationships/hyperlink" Target="http://crjm.org/news/view/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jm.org/app/webroot/uploaded/2014%20Study%20Specialis%20Judges%20MD_en.pdf" TargetMode="External"/><Relationship Id="rId5" Type="http://schemas.openxmlformats.org/officeDocument/2006/relationships/webSettings" Target="webSettings.xml"/><Relationship Id="rId15" Type="http://schemas.openxmlformats.org/officeDocument/2006/relationships/hyperlink" Target="http://crjm.org/app/webroot/uploaded/2013%2001%2010%20opinie.reg.organiz.coleg.eval.judec.31.12.2012.pdf" TargetMode="External"/><Relationship Id="rId23" Type="http://schemas.openxmlformats.org/officeDocument/2006/relationships/theme" Target="theme/theme1.xml"/><Relationship Id="rId10" Type="http://schemas.openxmlformats.org/officeDocument/2006/relationships/hyperlink" Target="http://crjm.org/app/webroot/uploaded/2014%20Study%20Optimis%20Jud%20Map%20MD_en.pdf" TargetMode="External"/><Relationship Id="rId19" Type="http://schemas.openxmlformats.org/officeDocument/2006/relationships/hyperlink" Target="http://crjm.org/app/webroot/uploaded/Compensa%C8%9Bii%20morale%20acordate%20de%20CtEDO%20-%202013_3.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rjm.org/app/webroot/uploaded/2013%2009%2023%20CRJM.opinie.modific.reg.evaluare.performante_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5E67-F166-4AD9-A4CF-9BED44DF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Turcu</dc:creator>
  <cp:lastModifiedBy>user</cp:lastModifiedBy>
  <cp:revision>23</cp:revision>
  <cp:lastPrinted>2014-04-17T12:29:00Z</cp:lastPrinted>
  <dcterms:created xsi:type="dcterms:W3CDTF">2014-05-15T09:11:00Z</dcterms:created>
  <dcterms:modified xsi:type="dcterms:W3CDTF">2014-05-15T14:01:00Z</dcterms:modified>
</cp:coreProperties>
</file>