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87" w:rsidRPr="00A87B6A" w:rsidRDefault="00A87B6A">
      <w:pPr>
        <w:rPr>
          <w:b/>
          <w:sz w:val="28"/>
          <w:szCs w:val="28"/>
          <w:lang w:val="ro-RO"/>
        </w:rPr>
      </w:pPr>
      <w:hyperlink r:id="rId4" w:history="1">
        <w:r w:rsidRPr="00A87B6A">
          <w:rPr>
            <w:rStyle w:val="Hyperlink"/>
            <w:b/>
            <w:sz w:val="28"/>
            <w:szCs w:val="28"/>
            <w:lang w:val="ro-RO"/>
          </w:rPr>
          <w:t>Baza de date ale Curții Penale Internaționale</w:t>
        </w:r>
      </w:hyperlink>
      <w:bookmarkStart w:id="0" w:name="_GoBack"/>
      <w:bookmarkEnd w:id="0"/>
    </w:p>
    <w:sectPr w:rsidR="00EC5287" w:rsidRPr="00A87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6A"/>
    <w:rsid w:val="00A87B6A"/>
    <w:rsid w:val="00E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DA791-BFCA-4148-B11D-DD772984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c-cpi.int/en_menus/icc/situations%20and%20cases/cases/Pages/cases%20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2014-07-03T13:32:00Z</dcterms:created>
  <dcterms:modified xsi:type="dcterms:W3CDTF">2014-07-03T13:34:00Z</dcterms:modified>
</cp:coreProperties>
</file>